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5837F7" w:rsidP="000911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Курской области;</w:t>
            </w:r>
          </w:p>
          <w:p w:rsidR="005837F7"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B1409B" w:rsidRPr="007C4F42" w:rsidRDefault="00B1409B" w:rsidP="005837F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5837F7">
              <w:rPr>
                <w:rFonts w:ascii="Times New Roman" w:hAnsi="Times New Roman" w:cs="Times New Roman"/>
                <w:sz w:val="24"/>
                <w:szCs w:val="24"/>
              </w:rPr>
              <w:t>»</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 xml:space="preserve">численность постоянных работающих на вновь созданных </w:t>
            </w:r>
            <w:proofErr w:type="gramStart"/>
            <w:r w:rsidRPr="007C4F42">
              <w:rPr>
                <w:rFonts w:ascii="Times New Roman" w:hAnsi="Times New Roman" w:cs="Times New Roman"/>
                <w:sz w:val="24"/>
                <w:szCs w:val="24"/>
              </w:rPr>
              <w:t>предприятиях</w:t>
            </w:r>
            <w:proofErr w:type="gramEnd"/>
            <w:r w:rsidRPr="007C4F42">
              <w:rPr>
                <w:rFonts w:ascii="Times New Roman" w:hAnsi="Times New Roman" w:cs="Times New Roman"/>
                <w:sz w:val="24"/>
                <w:szCs w:val="24"/>
              </w:rPr>
              <w:t xml:space="preserve">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 xml:space="preserve">количество сотрудников предприятий и </w:t>
            </w:r>
            <w:r w:rsidRPr="00ED1B85">
              <w:rPr>
                <w:rFonts w:ascii="Times New Roman" w:hAnsi="Times New Roman" w:cs="Times New Roman"/>
                <w:sz w:val="24"/>
                <w:szCs w:val="24"/>
              </w:rPr>
              <w:lastRenderedPageBreak/>
              <w:t>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04EFA" w:rsidRPr="00ED1B85" w:rsidRDefault="00A04EFA"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w:t>
            </w:r>
            <w:proofErr w:type="gramStart"/>
            <w:r>
              <w:rPr>
                <w:rFonts w:ascii="Times New Roman" w:hAnsi="Times New Roman" w:cs="Times New Roman"/>
                <w:sz w:val="24"/>
                <w:szCs w:val="24"/>
              </w:rPr>
              <w:t>предприятиях</w:t>
            </w:r>
            <w:proofErr w:type="gramEnd"/>
            <w:r>
              <w:rPr>
                <w:rFonts w:ascii="Times New Roman" w:hAnsi="Times New Roman" w:cs="Times New Roman"/>
                <w:sz w:val="24"/>
                <w:szCs w:val="24"/>
              </w:rPr>
              <w:t xml:space="preserve"> – участниках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A04EFA">
              <w:rPr>
                <w:rFonts w:ascii="Times New Roman" w:hAnsi="Times New Roman" w:cs="Times New Roman"/>
                <w:sz w:val="24"/>
                <w:szCs w:val="24"/>
              </w:rPr>
              <w:t>5</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w:t>
            </w:r>
            <w:r w:rsidR="00A04EFA">
              <w:rPr>
                <w:rFonts w:ascii="Times New Roman" w:hAnsi="Times New Roman" w:cs="Times New Roman"/>
                <w:sz w:val="24"/>
                <w:szCs w:val="24"/>
              </w:rPr>
              <w:t>5</w:t>
            </w:r>
            <w:r w:rsidRPr="007C4F42">
              <w:rPr>
                <w:rFonts w:ascii="Times New Roman" w:hAnsi="Times New Roman" w:cs="Times New Roman"/>
                <w:sz w:val="24"/>
                <w:szCs w:val="24"/>
              </w:rPr>
              <w:t xml:space="preserve">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общий объем бюджетных ассигнований за счет средств областного бюджета на реализацию мероприятий подпрограммы в 2014 - 202</w:t>
            </w:r>
            <w:r w:rsidR="00A04EFA">
              <w:rPr>
                <w:rFonts w:ascii="Times New Roman" w:hAnsi="Times New Roman" w:cs="Times New Roman"/>
                <w:sz w:val="24"/>
                <w:szCs w:val="24"/>
              </w:rPr>
              <w:t>5</w:t>
            </w:r>
            <w:r w:rsidRPr="00A66700">
              <w:rPr>
                <w:rFonts w:ascii="Times New Roman" w:hAnsi="Times New Roman" w:cs="Times New Roman"/>
                <w:sz w:val="24"/>
                <w:szCs w:val="24"/>
              </w:rPr>
              <w:t xml:space="preserve"> годах составляет </w:t>
            </w:r>
            <w:r w:rsidR="00A04EFA">
              <w:rPr>
                <w:rFonts w:ascii="Times New Roman" w:hAnsi="Times New Roman" w:cs="Times New Roman"/>
                <w:sz w:val="24"/>
                <w:szCs w:val="24"/>
              </w:rPr>
              <w:t>1</w:t>
            </w:r>
            <w:r w:rsidR="005837F7">
              <w:rPr>
                <w:rFonts w:ascii="Times New Roman" w:hAnsi="Times New Roman" w:cs="Times New Roman"/>
                <w:sz w:val="24"/>
                <w:szCs w:val="24"/>
              </w:rPr>
              <w:t> </w:t>
            </w:r>
            <w:r w:rsidR="00A04EFA">
              <w:rPr>
                <w:rFonts w:ascii="Times New Roman" w:hAnsi="Times New Roman" w:cs="Times New Roman"/>
                <w:sz w:val="24"/>
                <w:szCs w:val="24"/>
              </w:rPr>
              <w:t>7</w:t>
            </w:r>
            <w:r w:rsidR="005837F7">
              <w:rPr>
                <w:rFonts w:ascii="Times New Roman" w:hAnsi="Times New Roman" w:cs="Times New Roman"/>
                <w:sz w:val="24"/>
                <w:szCs w:val="24"/>
              </w:rPr>
              <w:t xml:space="preserve">76 267,925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65 049,377</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w:t>
            </w:r>
            <w:r w:rsidR="00D5434C">
              <w:rPr>
                <w:rFonts w:ascii="Times New Roman" w:hAnsi="Times New Roman" w:cs="Times New Roman"/>
                <w:sz w:val="24"/>
                <w:szCs w:val="24"/>
              </w:rPr>
              <w:t>5 268,080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w:t>
            </w:r>
            <w:r w:rsidR="00D5434C">
              <w:rPr>
                <w:rFonts w:ascii="Times New Roman" w:hAnsi="Times New Roman" w:cs="Times New Roman"/>
                <w:sz w:val="24"/>
                <w:szCs w:val="24"/>
              </w:rPr>
              <w:t>5 258,080</w:t>
            </w:r>
            <w:r w:rsidRPr="00A66700">
              <w:rPr>
                <w:rFonts w:ascii="Times New Roman" w:hAnsi="Times New Roman" w:cs="Times New Roman"/>
                <w:sz w:val="24"/>
                <w:szCs w:val="24"/>
              </w:rPr>
              <w:t xml:space="preserve"> тыс. рублей</w:t>
            </w:r>
            <w:r w:rsidR="00A04EFA">
              <w:rPr>
                <w:rFonts w:ascii="Times New Roman" w:hAnsi="Times New Roman" w:cs="Times New Roman"/>
                <w:sz w:val="24"/>
                <w:szCs w:val="24"/>
              </w:rPr>
              <w:t>;</w:t>
            </w:r>
          </w:p>
          <w:p w:rsidR="00A04EFA" w:rsidRPr="00A66700" w:rsidRDefault="00A04EFA"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w:t>
            </w:r>
            <w:r w:rsidR="00CE4818">
              <w:rPr>
                <w:rFonts w:ascii="Times New Roman" w:hAnsi="Times New Roman" w:cs="Times New Roman"/>
                <w:sz w:val="24"/>
                <w:szCs w:val="24"/>
              </w:rPr>
              <w:t>год</w:t>
            </w:r>
            <w:r>
              <w:rPr>
                <w:rFonts w:ascii="Times New Roman" w:hAnsi="Times New Roman" w:cs="Times New Roman"/>
                <w:sz w:val="24"/>
                <w:szCs w:val="24"/>
              </w:rPr>
              <w:t xml:space="preserve"> </w:t>
            </w:r>
            <w:r w:rsidR="00CE4818">
              <w:rPr>
                <w:rFonts w:ascii="Times New Roman" w:hAnsi="Times New Roman" w:cs="Times New Roman"/>
                <w:sz w:val="24"/>
                <w:szCs w:val="24"/>
              </w:rPr>
              <w:t>–</w:t>
            </w:r>
            <w:r>
              <w:rPr>
                <w:rFonts w:ascii="Times New Roman" w:hAnsi="Times New Roman" w:cs="Times New Roman"/>
                <w:sz w:val="24"/>
                <w:szCs w:val="24"/>
              </w:rPr>
              <w:t xml:space="preserve"> </w:t>
            </w:r>
            <w:r w:rsidR="00CE4818">
              <w:rPr>
                <w:rFonts w:ascii="Times New Roman" w:hAnsi="Times New Roman" w:cs="Times New Roman"/>
                <w:sz w:val="24"/>
                <w:szCs w:val="24"/>
              </w:rPr>
              <w:t>45258,080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6</w:t>
            </w:r>
            <w:r w:rsidR="005837F7">
              <w:rPr>
                <w:rFonts w:ascii="Times New Roman" w:hAnsi="Times New Roman" w:cs="Times New Roman"/>
                <w:sz w:val="24"/>
                <w:szCs w:val="24"/>
              </w:rPr>
              <w:t>61 229,325</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45 609,277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w:t>
            </w:r>
            <w:r w:rsidR="00D5434C">
              <w:rPr>
                <w:rFonts w:ascii="Times New Roman" w:hAnsi="Times New Roman" w:cs="Times New Roman"/>
                <w:sz w:val="24"/>
                <w:szCs w:val="24"/>
              </w:rPr>
              <w:t>1 263,980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D5434C">
              <w:rPr>
                <w:rFonts w:ascii="Times New Roman" w:hAnsi="Times New Roman" w:cs="Times New Roman"/>
                <w:sz w:val="24"/>
                <w:szCs w:val="24"/>
              </w:rPr>
              <w:t>21 263,980</w:t>
            </w:r>
            <w:r w:rsidRPr="00A66700">
              <w:rPr>
                <w:rFonts w:ascii="Times New Roman" w:hAnsi="Times New Roman" w:cs="Times New Roman"/>
                <w:sz w:val="24"/>
                <w:szCs w:val="24"/>
              </w:rPr>
              <w:t xml:space="preserve"> тыс. рублей;</w:t>
            </w:r>
          </w:p>
          <w:p w:rsidR="00CE4818" w:rsidRPr="00A66700" w:rsidRDefault="00CE4818"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2025 год – 21 263,980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CE4818">
              <w:rPr>
                <w:rFonts w:ascii="Times New Roman" w:hAnsi="Times New Roman" w:cs="Times New Roman"/>
                <w:sz w:val="24"/>
                <w:szCs w:val="24"/>
              </w:rPr>
              <w:t>115 038,600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w:t>
            </w:r>
            <w:r w:rsidR="00D5434C">
              <w:rPr>
                <w:rFonts w:ascii="Times New Roman" w:hAnsi="Times New Roman" w:cs="Times New Roman"/>
                <w:sz w:val="24"/>
                <w:szCs w:val="24"/>
              </w:rPr>
              <w:t> </w:t>
            </w:r>
            <w:r>
              <w:rPr>
                <w:rFonts w:ascii="Times New Roman" w:hAnsi="Times New Roman" w:cs="Times New Roman"/>
                <w:sz w:val="24"/>
                <w:szCs w:val="24"/>
              </w:rPr>
              <w:t>0</w:t>
            </w:r>
            <w:r w:rsidR="00D5434C">
              <w:rPr>
                <w:rFonts w:ascii="Times New Roman" w:hAnsi="Times New Roman" w:cs="Times New Roman"/>
                <w:sz w:val="24"/>
                <w:szCs w:val="24"/>
              </w:rPr>
              <w:t>04,100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23 994,100 тыс. рублей</w:t>
            </w:r>
            <w:r w:rsidR="00CE4818">
              <w:rPr>
                <w:rFonts w:ascii="Times New Roman" w:hAnsi="Times New Roman" w:cs="Times New Roman"/>
                <w:sz w:val="24"/>
                <w:szCs w:val="24"/>
              </w:rPr>
              <w:t>;</w:t>
            </w:r>
          </w:p>
          <w:p w:rsidR="00CE4818" w:rsidRDefault="00CE4818"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065CCC">
              <w:rPr>
                <w:rFonts w:ascii="Times New Roman" w:hAnsi="Times New Roman" w:cs="Times New Roman"/>
                <w:sz w:val="24"/>
                <w:szCs w:val="24"/>
              </w:rPr>
              <w:t>23 994,100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w:t>
            </w:r>
            <w:r w:rsidR="00065CCC">
              <w:rPr>
                <w:rFonts w:ascii="Times New Roman" w:hAnsi="Times New Roman" w:cs="Times New Roman"/>
                <w:sz w:val="24"/>
                <w:szCs w:val="24"/>
              </w:rPr>
              <w:t>5</w:t>
            </w:r>
            <w:r>
              <w:rPr>
                <w:rFonts w:ascii="Times New Roman" w:hAnsi="Times New Roman" w:cs="Times New Roman"/>
                <w:sz w:val="24"/>
                <w:szCs w:val="24"/>
              </w:rPr>
              <w:t xml:space="preserve"> годы – 8 </w:t>
            </w:r>
            <w:r w:rsidR="00065CCC">
              <w:rPr>
                <w:rFonts w:ascii="Times New Roman" w:hAnsi="Times New Roman" w:cs="Times New Roman"/>
                <w:sz w:val="24"/>
                <w:szCs w:val="24"/>
              </w:rPr>
              <w:t>019</w:t>
            </w:r>
            <w:r>
              <w:rPr>
                <w:rFonts w:ascii="Times New Roman" w:hAnsi="Times New Roman" w:cs="Times New Roman"/>
                <w:sz w:val="24"/>
                <w:szCs w:val="24"/>
              </w:rPr>
              <w:t> </w:t>
            </w:r>
            <w:r w:rsidR="00065CCC">
              <w:rPr>
                <w:rFonts w:ascii="Times New Roman" w:hAnsi="Times New Roman" w:cs="Times New Roman"/>
                <w:sz w:val="24"/>
                <w:szCs w:val="24"/>
              </w:rPr>
              <w:t>963</w:t>
            </w:r>
            <w:r>
              <w:rPr>
                <w:rFonts w:ascii="Times New Roman" w:hAnsi="Times New Roman" w:cs="Times New Roman"/>
                <w:sz w:val="24"/>
                <w:szCs w:val="24"/>
              </w:rPr>
              <w:t>,00</w:t>
            </w:r>
            <w:r w:rsidR="001E3B32" w:rsidRPr="001E3B32">
              <w:rPr>
                <w:rFonts w:ascii="Times New Roman" w:hAnsi="Times New Roman" w:cs="Times New Roman"/>
                <w:sz w:val="24"/>
                <w:szCs w:val="24"/>
              </w:rPr>
              <w:t xml:space="preserve"> тыс. рублей</w:t>
            </w:r>
            <w:r w:rsidR="00065CCC">
              <w:rPr>
                <w:rFonts w:ascii="Times New Roman" w:hAnsi="Times New Roman" w:cs="Times New Roman"/>
                <w:sz w:val="24"/>
                <w:szCs w:val="24"/>
              </w:rPr>
              <w:t>.</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222,7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206,6</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не менее </w:t>
            </w:r>
            <w:r w:rsidR="00065CCC">
              <w:rPr>
                <w:rFonts w:ascii="Times New Roman" w:hAnsi="Times New Roman" w:cs="Times New Roman"/>
                <w:sz w:val="24"/>
                <w:szCs w:val="24"/>
              </w:rPr>
              <w:t>5</w:t>
            </w:r>
            <w:r w:rsidRPr="00EB5A14">
              <w:rPr>
                <w:rFonts w:ascii="Times New Roman" w:hAnsi="Times New Roman" w:cs="Times New Roman"/>
                <w:sz w:val="24"/>
                <w:szCs w:val="24"/>
              </w:rPr>
              <w:t>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годы резидентами промышленных парков, составит не менее </w:t>
            </w:r>
            <w:r w:rsidR="00065CCC">
              <w:rPr>
                <w:rFonts w:ascii="Times New Roman" w:hAnsi="Times New Roman" w:cs="Times New Roman"/>
                <w:sz w:val="24"/>
                <w:szCs w:val="24"/>
              </w:rPr>
              <w:t>5,7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1</w:t>
            </w:r>
            <w:r w:rsidR="00065CCC">
              <w:rPr>
                <w:rFonts w:ascii="Times New Roman" w:hAnsi="Times New Roman" w:cs="Times New Roman"/>
                <w:sz w:val="24"/>
                <w:szCs w:val="24"/>
              </w:rPr>
              <w:t>1</w:t>
            </w:r>
            <w:r w:rsidRPr="00EB5A14">
              <w:rPr>
                <w:rFonts w:ascii="Times New Roman" w:hAnsi="Times New Roman" w:cs="Times New Roman"/>
                <w:sz w:val="24"/>
                <w:szCs w:val="24"/>
              </w:rPr>
              <w:t>00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w:t>
            </w:r>
            <w:r w:rsidR="000F3FDC">
              <w:rPr>
                <w:rFonts w:ascii="Times New Roman" w:hAnsi="Times New Roman" w:cs="Times New Roman"/>
                <w:sz w:val="24"/>
                <w:szCs w:val="24"/>
              </w:rPr>
              <w:t>4</w:t>
            </w:r>
            <w:r w:rsidR="00065CCC">
              <w:rPr>
                <w:rFonts w:ascii="Times New Roman" w:hAnsi="Times New Roman" w:cs="Times New Roman"/>
                <w:sz w:val="24"/>
                <w:szCs w:val="24"/>
              </w:rPr>
              <w:t>2</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5</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7</w:t>
            </w:r>
            <w:r w:rsidR="005837F7">
              <w:rPr>
                <w:rFonts w:ascii="Times New Roman" w:hAnsi="Times New Roman" w:cs="Times New Roman"/>
                <w:sz w:val="24"/>
                <w:szCs w:val="24"/>
              </w:rPr>
              <w:t>6</w:t>
            </w:r>
            <w:r w:rsidR="00065CCC">
              <w:rPr>
                <w:rFonts w:ascii="Times New Roman" w:hAnsi="Times New Roman" w:cs="Times New Roman"/>
                <w:sz w:val="24"/>
                <w:szCs w:val="24"/>
              </w:rPr>
              <w:t>8</w:t>
            </w:r>
            <w:r w:rsidRPr="00EB5A14">
              <w:rPr>
                <w:rFonts w:ascii="Times New Roman" w:hAnsi="Times New Roman" w:cs="Times New Roman"/>
                <w:sz w:val="24"/>
                <w:szCs w:val="24"/>
              </w:rPr>
              <w:t xml:space="preserve">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5837F7">
              <w:rPr>
                <w:rFonts w:ascii="Times New Roman" w:hAnsi="Times New Roman" w:cs="Times New Roman"/>
                <w:sz w:val="24"/>
                <w:szCs w:val="24"/>
              </w:rPr>
              <w:t>390</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2</w:t>
            </w:r>
            <w:r w:rsidR="004039A4">
              <w:rPr>
                <w:rFonts w:ascii="Times New Roman" w:hAnsi="Times New Roman" w:cs="Times New Roman"/>
                <w:sz w:val="24"/>
                <w:szCs w:val="24"/>
              </w:rPr>
              <w:t>72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90 человек;</w:t>
            </w:r>
          </w:p>
          <w:p w:rsid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3</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4039A4" w:rsidRPr="00EB5A14" w:rsidRDefault="004039A4" w:rsidP="00EB5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w:t>
            </w:r>
            <w:proofErr w:type="gramStart"/>
            <w:r>
              <w:rPr>
                <w:rFonts w:ascii="Times New Roman" w:hAnsi="Times New Roman" w:cs="Times New Roman"/>
                <w:sz w:val="24"/>
                <w:szCs w:val="24"/>
              </w:rPr>
              <w:t>предприятиях</w:t>
            </w:r>
            <w:proofErr w:type="gramEnd"/>
            <w:r>
              <w:rPr>
                <w:rFonts w:ascii="Times New Roman" w:hAnsi="Times New Roman" w:cs="Times New Roman"/>
                <w:sz w:val="24"/>
                <w:szCs w:val="24"/>
              </w:rPr>
              <w:t xml:space="preserve"> – участниках национального проекта под региональным управлением (с РЦК) в 2022 – 2025 годах составит 60 человек</w:t>
            </w:r>
            <w:r w:rsidR="00311D60">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реализовано в 2022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 xml:space="preserve">ожением необходимых объемов инвестиций. Анализ и оценка методов привлечения инвесторов в субъектах Российской Федерации позволяют </w:t>
      </w:r>
      <w:proofErr w:type="gramStart"/>
      <w:r w:rsidRPr="0077776F">
        <w:rPr>
          <w:rFonts w:ascii="Times New Roman" w:hAnsi="Times New Roman" w:cs="Times New Roman"/>
          <w:sz w:val="28"/>
          <w:szCs w:val="28"/>
        </w:rPr>
        <w:t>выделить и объединить</w:t>
      </w:r>
      <w:proofErr w:type="gramEnd"/>
      <w:r w:rsidRPr="0077776F">
        <w:rPr>
          <w:rFonts w:ascii="Times New Roman" w:hAnsi="Times New Roman" w:cs="Times New Roman"/>
          <w:sz w:val="28"/>
          <w:szCs w:val="28"/>
        </w:rPr>
        <w:t xml:space="preserve">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изм</w:t>
            </w:r>
            <w:proofErr w:type="spellEnd"/>
            <w:r w:rsidRPr="0077776F">
              <w:rPr>
                <w:rFonts w:ascii="Times New Roman" w:hAnsi="Times New Roman" w:cs="Times New Roman"/>
                <w:sz w:val="24"/>
                <w:szCs w:val="24"/>
              </w:rPr>
              <w:t>.</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xml:space="preserve">:* Информация указана на </w:t>
      </w:r>
      <w:proofErr w:type="gramStart"/>
      <w:r w:rsidRPr="0077776F">
        <w:rPr>
          <w:rFonts w:ascii="Times New Roman" w:hAnsi="Times New Roman" w:cs="Times New Roman"/>
          <w:i/>
          <w:sz w:val="24"/>
          <w:szCs w:val="24"/>
        </w:rPr>
        <w:t>основании</w:t>
      </w:r>
      <w:proofErr w:type="gramEnd"/>
      <w:r w:rsidRPr="0077776F">
        <w:rPr>
          <w:rFonts w:ascii="Times New Roman" w:hAnsi="Times New Roman" w:cs="Times New Roman"/>
          <w:i/>
          <w:sz w:val="24"/>
          <w:szCs w:val="24"/>
        </w:rPr>
        <w:t xml:space="preserve">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Беловский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Большесолдатский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Глушковский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Горшеченский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Железногорский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Золотухинский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Касторенский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Конышевский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Кореневский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Мантуровский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Медвенский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Обоянский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Поныровский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Пристенский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Солнцевский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Суджанский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Тимский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Фатежский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Хомутовский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Черемисиновский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Щигровский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по видам </w:t>
      </w:r>
      <w:proofErr w:type="gramStart"/>
      <w:r w:rsidRPr="0077776F">
        <w:rPr>
          <w:rFonts w:ascii="Times New Roman" w:hAnsi="Times New Roman" w:cs="Times New Roman"/>
          <w:b/>
          <w:bCs/>
          <w:sz w:val="24"/>
          <w:szCs w:val="24"/>
        </w:rPr>
        <w:t>экономической</w:t>
      </w:r>
      <w:proofErr w:type="gramEnd"/>
      <w:r w:rsidRPr="0077776F">
        <w:rPr>
          <w:rFonts w:ascii="Times New Roman" w:hAnsi="Times New Roman" w:cs="Times New Roman"/>
          <w:b/>
          <w:bCs/>
          <w:sz w:val="24"/>
          <w:szCs w:val="24"/>
        </w:rPr>
        <w:t xml:space="preserve">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Виды </w:t>
            </w:r>
            <w:proofErr w:type="gramStart"/>
            <w:r w:rsidRPr="0077776F">
              <w:rPr>
                <w:rFonts w:ascii="Times New Roman" w:hAnsi="Times New Roman" w:cs="Times New Roman"/>
                <w:color w:val="000000"/>
                <w:sz w:val="24"/>
                <w:szCs w:val="24"/>
              </w:rPr>
              <w:t>экономической</w:t>
            </w:r>
            <w:proofErr w:type="gramEnd"/>
            <w:r w:rsidRPr="0077776F">
              <w:rPr>
                <w:rFonts w:ascii="Times New Roman" w:hAnsi="Times New Roman" w:cs="Times New Roman"/>
                <w:color w:val="000000"/>
                <w:sz w:val="24"/>
                <w:szCs w:val="24"/>
              </w:rPr>
              <w:t xml:space="preserve">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Инвестиционная</w:t>
      </w:r>
      <w:proofErr w:type="gramEnd"/>
      <w:r w:rsidRPr="0077776F">
        <w:rPr>
          <w:rFonts w:ascii="Times New Roman" w:hAnsi="Times New Roman" w:cs="Times New Roman"/>
          <w:sz w:val="28"/>
          <w:szCs w:val="28"/>
        </w:rPr>
        <w:t xml:space="preserve">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субсидий на возмещение затрат на строительство объектов инфраструктуры в рамках реализации новых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B74978" w:rsidRPr="00B74978"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029-2001 к коду группировок видов экономической деятельности 15 «Производство пищевых продуктов, включая напитки», - не менее 50 млн. рублей.</w:t>
      </w:r>
      <w:proofErr w:type="gramEnd"/>
      <w:r w:rsidRPr="00995CA1">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w:t>
      </w:r>
      <w:proofErr w:type="spellStart"/>
      <w:r w:rsidRPr="0077776F">
        <w:rPr>
          <w:rFonts w:ascii="Times New Roman" w:hAnsi="Times New Roman" w:cs="Times New Roman"/>
          <w:sz w:val="28"/>
          <w:szCs w:val="28"/>
        </w:rPr>
        <w:t>ГОКе</w:t>
      </w:r>
      <w:proofErr w:type="spellEnd"/>
      <w:r w:rsidRPr="0077776F">
        <w:rPr>
          <w:rFonts w:ascii="Times New Roman" w:hAnsi="Times New Roman" w:cs="Times New Roman"/>
          <w:sz w:val="28"/>
          <w:szCs w:val="28"/>
        </w:rPr>
        <w:t xml:space="preserve">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w:t>
      </w:r>
      <w:proofErr w:type="gramStart"/>
      <w:r w:rsidRPr="0077776F">
        <w:rPr>
          <w:rFonts w:ascii="Times New Roman" w:hAnsi="Times New Roman" w:cs="Times New Roman"/>
          <w:sz w:val="28"/>
          <w:szCs w:val="28"/>
        </w:rPr>
        <w:t>кт стр</w:t>
      </w:r>
      <w:proofErr w:type="gramEnd"/>
      <w:r w:rsidRPr="0077776F">
        <w:rPr>
          <w:rFonts w:ascii="Times New Roman" w:hAnsi="Times New Roman" w:cs="Times New Roman"/>
          <w:sz w:val="28"/>
          <w:szCs w:val="28"/>
        </w:rPr>
        <w:t xml:space="preserve">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w:t>
      </w:r>
      <w:proofErr w:type="spellStart"/>
      <w:r w:rsidR="00F24237" w:rsidRPr="0077776F">
        <w:rPr>
          <w:rFonts w:ascii="Times New Roman" w:hAnsi="Times New Roman" w:cs="Times New Roman"/>
          <w:sz w:val="28"/>
          <w:szCs w:val="28"/>
        </w:rPr>
        <w:t>Росатом</w:t>
      </w:r>
      <w:proofErr w:type="spellEnd"/>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proofErr w:type="gramStart"/>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roofErr w:type="gramEnd"/>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w:t>
      </w:r>
      <w:proofErr w:type="spellStart"/>
      <w:r w:rsidRPr="0077776F">
        <w:rPr>
          <w:rFonts w:ascii="Times New Roman" w:hAnsi="Times New Roman" w:cs="Times New Roman"/>
          <w:sz w:val="28"/>
          <w:szCs w:val="28"/>
        </w:rPr>
        <w:t>multi-site</w:t>
      </w:r>
      <w:proofErr w:type="spellEnd"/>
      <w:r w:rsidRPr="0077776F">
        <w:rPr>
          <w:rFonts w:ascii="Times New Roman" w:hAnsi="Times New Roman" w:cs="Times New Roman"/>
          <w:sz w:val="28"/>
          <w:szCs w:val="28"/>
        </w:rPr>
        <w:t xml:space="preserve">» («несколько производственных площадок») на территории Дмитриевского, </w:t>
      </w:r>
      <w:proofErr w:type="spellStart"/>
      <w:r w:rsidRPr="0077776F">
        <w:rPr>
          <w:rFonts w:ascii="Times New Roman" w:hAnsi="Times New Roman" w:cs="Times New Roman"/>
          <w:sz w:val="28"/>
          <w:szCs w:val="28"/>
        </w:rPr>
        <w:t>Железногорского</w:t>
      </w:r>
      <w:proofErr w:type="spellEnd"/>
      <w:r w:rsidRPr="0077776F">
        <w:rPr>
          <w:rFonts w:ascii="Times New Roman" w:hAnsi="Times New Roman" w:cs="Times New Roman"/>
          <w:sz w:val="28"/>
          <w:szCs w:val="28"/>
        </w:rPr>
        <w:t xml:space="preserve"> и </w:t>
      </w:r>
      <w:proofErr w:type="spellStart"/>
      <w:r w:rsidRPr="0077776F">
        <w:rPr>
          <w:rFonts w:ascii="Times New Roman" w:hAnsi="Times New Roman" w:cs="Times New Roman"/>
          <w:sz w:val="28"/>
          <w:szCs w:val="28"/>
        </w:rPr>
        <w:t>Конышевского</w:t>
      </w:r>
      <w:proofErr w:type="spellEnd"/>
      <w:r w:rsidRPr="0077776F">
        <w:rPr>
          <w:rFonts w:ascii="Times New Roman" w:hAnsi="Times New Roman" w:cs="Times New Roman"/>
          <w:sz w:val="28"/>
          <w:szCs w:val="28"/>
        </w:rPr>
        <w:t xml:space="preserve">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w:t>
      </w:r>
      <w:proofErr w:type="spellStart"/>
      <w:r w:rsidRPr="0077776F">
        <w:rPr>
          <w:rFonts w:ascii="Times New Roman" w:hAnsi="Times New Roman" w:cs="Times New Roman"/>
          <w:sz w:val="28"/>
          <w:szCs w:val="28"/>
        </w:rPr>
        <w:t>хрячника</w:t>
      </w:r>
      <w:proofErr w:type="spellEnd"/>
      <w:r w:rsidRPr="0077776F">
        <w:rPr>
          <w:rFonts w:ascii="Times New Roman" w:hAnsi="Times New Roman" w:cs="Times New Roman"/>
          <w:sz w:val="28"/>
          <w:szCs w:val="28"/>
        </w:rPr>
        <w:t xml:space="preserve"> на 328 голов, 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Завершено строительство 4 </w:t>
      </w:r>
      <w:proofErr w:type="spellStart"/>
      <w:r w:rsidRPr="0077776F">
        <w:rPr>
          <w:rFonts w:ascii="Times New Roman" w:hAnsi="Times New Roman" w:cs="Times New Roman"/>
          <w:sz w:val="28"/>
          <w:szCs w:val="28"/>
        </w:rPr>
        <w:t>свинокомплексов</w:t>
      </w:r>
      <w:proofErr w:type="spellEnd"/>
      <w:r w:rsidRPr="0077776F">
        <w:rPr>
          <w:rFonts w:ascii="Times New Roman" w:hAnsi="Times New Roman" w:cs="Times New Roman"/>
          <w:sz w:val="28"/>
          <w:szCs w:val="28"/>
        </w:rPr>
        <w:t xml:space="preserve"> в </w:t>
      </w:r>
      <w:proofErr w:type="spellStart"/>
      <w:r w:rsidRPr="0077776F">
        <w:rPr>
          <w:rFonts w:ascii="Times New Roman" w:hAnsi="Times New Roman" w:cs="Times New Roman"/>
          <w:sz w:val="28"/>
          <w:szCs w:val="28"/>
        </w:rPr>
        <w:t>Пристенском</w:t>
      </w:r>
      <w:proofErr w:type="spellEnd"/>
      <w:r w:rsidRPr="0077776F">
        <w:rPr>
          <w:rFonts w:ascii="Times New Roman" w:hAnsi="Times New Roman" w:cs="Times New Roman"/>
          <w:sz w:val="28"/>
          <w:szCs w:val="28"/>
        </w:rPr>
        <w:t xml:space="preserve">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w:t>
      </w:r>
      <w:proofErr w:type="spellStart"/>
      <w:r w:rsidRPr="0077776F">
        <w:rPr>
          <w:rFonts w:ascii="Times New Roman" w:hAnsi="Times New Roman" w:cs="Times New Roman"/>
          <w:sz w:val="28"/>
          <w:szCs w:val="28"/>
        </w:rPr>
        <w:t>Мираторг</w:t>
      </w:r>
      <w:proofErr w:type="spellEnd"/>
      <w:r w:rsidRPr="0077776F">
        <w:rPr>
          <w:rFonts w:ascii="Times New Roman" w:hAnsi="Times New Roman" w:cs="Times New Roman"/>
          <w:sz w:val="28"/>
          <w:szCs w:val="28"/>
        </w:rPr>
        <w:t>»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w:t>
      </w:r>
      <w:proofErr w:type="spellStart"/>
      <w:r w:rsidRPr="0077776F">
        <w:rPr>
          <w:rFonts w:ascii="Times New Roman" w:hAnsi="Times New Roman" w:cs="Times New Roman"/>
          <w:sz w:val="28"/>
          <w:szCs w:val="28"/>
        </w:rPr>
        <w:t>Глушковском</w:t>
      </w:r>
      <w:proofErr w:type="spellEnd"/>
      <w:r w:rsidRPr="0077776F">
        <w:rPr>
          <w:rFonts w:ascii="Times New Roman" w:hAnsi="Times New Roman" w:cs="Times New Roman"/>
          <w:sz w:val="28"/>
          <w:szCs w:val="28"/>
        </w:rPr>
        <w:t xml:space="preserve"> районе завершается строительство</w:t>
      </w:r>
      <w:r w:rsidR="00F24237" w:rsidRPr="0077776F">
        <w:rPr>
          <w:rFonts w:ascii="Times New Roman" w:hAnsi="Times New Roman" w:cs="Times New Roman"/>
          <w:sz w:val="28"/>
          <w:szCs w:val="28"/>
        </w:rPr>
        <w:t xml:space="preserve"> тепличного комплекса «</w:t>
      </w:r>
      <w:proofErr w:type="spellStart"/>
      <w:r w:rsidR="00F24237" w:rsidRPr="0077776F">
        <w:rPr>
          <w:rFonts w:ascii="Times New Roman" w:hAnsi="Times New Roman" w:cs="Times New Roman"/>
          <w:sz w:val="28"/>
          <w:szCs w:val="28"/>
        </w:rPr>
        <w:t>АгроПарк</w:t>
      </w:r>
      <w:proofErr w:type="spellEnd"/>
      <w:r w:rsidR="00F24237" w:rsidRPr="0077776F">
        <w:rPr>
          <w:rFonts w:ascii="Times New Roman" w:hAnsi="Times New Roman" w:cs="Times New Roman"/>
          <w:sz w:val="28"/>
          <w:szCs w:val="28"/>
        </w:rPr>
        <w:t>»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w:t>
      </w:r>
      <w:proofErr w:type="spellStart"/>
      <w:r w:rsidRPr="0077776F">
        <w:rPr>
          <w:rFonts w:ascii="Times New Roman" w:hAnsi="Times New Roman" w:cs="Times New Roman"/>
          <w:sz w:val="28"/>
          <w:szCs w:val="28"/>
        </w:rPr>
        <w:t>залами-трансформерами</w:t>
      </w:r>
      <w:proofErr w:type="spellEnd"/>
      <w:r w:rsidRPr="0077776F">
        <w:rPr>
          <w:rFonts w:ascii="Times New Roman" w:hAnsi="Times New Roman" w:cs="Times New Roman"/>
          <w:sz w:val="28"/>
          <w:szCs w:val="28"/>
        </w:rPr>
        <w:t xml:space="preserve">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w:t>
      </w:r>
      <w:proofErr w:type="spellStart"/>
      <w:r w:rsidRPr="0077776F">
        <w:rPr>
          <w:rFonts w:ascii="Times New Roman" w:hAnsi="Times New Roman" w:cs="Times New Roman"/>
          <w:sz w:val="28"/>
          <w:szCs w:val="28"/>
        </w:rPr>
        <w:t>МегаГРИНН</w:t>
      </w:r>
      <w:proofErr w:type="spellEnd"/>
      <w:r w:rsidRPr="0077776F">
        <w:rPr>
          <w:rFonts w:ascii="Times New Roman" w:hAnsi="Times New Roman" w:cs="Times New Roman"/>
          <w:sz w:val="28"/>
          <w:szCs w:val="28"/>
        </w:rPr>
        <w:t>»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 xml:space="preserve">область находится на </w:t>
      </w:r>
      <w:proofErr w:type="gramStart"/>
      <w:r w:rsidR="008E4F06" w:rsidRPr="0077776F">
        <w:rPr>
          <w:rFonts w:ascii="Times New Roman" w:hAnsi="Times New Roman" w:cs="Times New Roman"/>
          <w:sz w:val="28"/>
          <w:szCs w:val="28"/>
        </w:rPr>
        <w:t>пятом</w:t>
      </w:r>
      <w:proofErr w:type="gramEnd"/>
      <w:r w:rsidR="008E4F06" w:rsidRPr="0077776F">
        <w:rPr>
          <w:rFonts w:ascii="Times New Roman" w:hAnsi="Times New Roman" w:cs="Times New Roman"/>
          <w:sz w:val="28"/>
          <w:szCs w:val="28"/>
        </w:rPr>
        <w:t xml:space="preserve">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74978" w:rsidRPr="00995CA1"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Создан</w:t>
      </w:r>
      <w:proofErr w:type="gramEnd"/>
      <w:r w:rsidRPr="00995CA1">
        <w:rPr>
          <w:rFonts w:ascii="Times New Roman" w:hAnsi="Times New Roman" w:cs="Times New Roman"/>
          <w:sz w:val="28"/>
          <w:szCs w:val="28"/>
        </w:rPr>
        <w:t xml:space="preserve">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2012 году создано ОАО «Агентство по привлечению инвестиций 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соответствии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rsid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w:t>
      </w:r>
      <w:proofErr w:type="spellStart"/>
      <w:r w:rsidRPr="00995CA1">
        <w:rPr>
          <w:rFonts w:ascii="Times New Roman" w:hAnsi="Times New Roman" w:cs="Times New Roman"/>
          <w:sz w:val="28"/>
          <w:szCs w:val="28"/>
        </w:rPr>
        <w:t>Железногорский</w:t>
      </w:r>
      <w:proofErr w:type="spellEnd"/>
      <w:r w:rsidRPr="00995CA1">
        <w:rPr>
          <w:rFonts w:ascii="Times New Roman" w:hAnsi="Times New Roman" w:cs="Times New Roman"/>
          <w:sz w:val="28"/>
          <w:szCs w:val="28"/>
        </w:rPr>
        <w:t xml:space="preserve"> район» Курской 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rsidR="001F3A85" w:rsidRDefault="001F3A85"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В целях повышения информационной открытости региона в 2012 - 2019 годах </w:t>
      </w:r>
      <w:r>
        <w:rPr>
          <w:rFonts w:ascii="Times New Roman" w:hAnsi="Times New Roman" w:cs="Times New Roman"/>
          <w:sz w:val="28"/>
          <w:szCs w:val="28"/>
        </w:rPr>
        <w:t xml:space="preserve">органами исполнительной власти Курской области </w:t>
      </w:r>
      <w:r w:rsidRPr="00343168">
        <w:rPr>
          <w:rFonts w:ascii="Times New Roman" w:hAnsi="Times New Roman" w:cs="Times New Roman"/>
          <w:sz w:val="28"/>
          <w:szCs w:val="28"/>
        </w:rPr>
        <w:t xml:space="preserve">совместно с российским информационным агентством АК&amp;М проводился Среднерусский экономический форум, который привлекал большое количество участников, в том числе инвесторов, предпринимателей, что позволило курскому бизнесу найти новых партнеров и расширить объемы производства. В настоящее время проводятся значимые </w:t>
      </w:r>
      <w:proofErr w:type="spellStart"/>
      <w:r w:rsidRPr="00343168">
        <w:rPr>
          <w:rFonts w:ascii="Times New Roman" w:hAnsi="Times New Roman" w:cs="Times New Roman"/>
          <w:sz w:val="28"/>
          <w:szCs w:val="28"/>
        </w:rPr>
        <w:t>имиджевые</w:t>
      </w:r>
      <w:proofErr w:type="spellEnd"/>
      <w:r w:rsidRPr="00343168">
        <w:rPr>
          <w:rFonts w:ascii="Times New Roman" w:hAnsi="Times New Roman" w:cs="Times New Roman"/>
          <w:sz w:val="28"/>
          <w:szCs w:val="28"/>
        </w:rPr>
        <w:t xml:space="preserve"> мероприятия, нацеленные на позиционирование Курской области как </w:t>
      </w:r>
      <w:proofErr w:type="spellStart"/>
      <w:r w:rsidRPr="00343168">
        <w:rPr>
          <w:rFonts w:ascii="Times New Roman" w:hAnsi="Times New Roman" w:cs="Times New Roman"/>
          <w:sz w:val="28"/>
          <w:szCs w:val="28"/>
        </w:rPr>
        <w:t>инвестиционно-привлекательного</w:t>
      </w:r>
      <w:proofErr w:type="spellEnd"/>
      <w:r w:rsidRPr="00343168">
        <w:rPr>
          <w:rFonts w:ascii="Times New Roman" w:hAnsi="Times New Roman" w:cs="Times New Roman"/>
          <w:sz w:val="28"/>
          <w:szCs w:val="28"/>
        </w:rPr>
        <w:t xml:space="preserve"> региона, территории, благоприятной для ведения бизнеса.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отсутствие </w:t>
      </w:r>
      <w:proofErr w:type="gramStart"/>
      <w:r w:rsidRPr="0077776F">
        <w:rPr>
          <w:rFonts w:ascii="Times New Roman" w:hAnsi="Times New Roman" w:cs="Times New Roman"/>
          <w:sz w:val="28"/>
          <w:szCs w:val="28"/>
        </w:rPr>
        <w:t>подготовленной</w:t>
      </w:r>
      <w:proofErr w:type="gramEnd"/>
      <w:r w:rsidRPr="0077776F">
        <w:rPr>
          <w:rFonts w:ascii="Times New Roman" w:hAnsi="Times New Roman" w:cs="Times New Roman"/>
          <w:sz w:val="28"/>
          <w:szCs w:val="28"/>
        </w:rPr>
        <w:t xml:space="preserve">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rsidRPr="0077776F">
        <w:rPr>
          <w:rFonts w:ascii="Times New Roman" w:hAnsi="Times New Roman" w:cs="Times New Roman"/>
          <w:sz w:val="28"/>
          <w:szCs w:val="28"/>
        </w:rPr>
        <w:t>осваивать и выпускать</w:t>
      </w:r>
      <w:proofErr w:type="gramEnd"/>
      <w:r w:rsidRPr="0077776F">
        <w:rPr>
          <w:rFonts w:ascii="Times New Roman" w:hAnsi="Times New Roman" w:cs="Times New Roman"/>
          <w:sz w:val="28"/>
          <w:szCs w:val="28"/>
        </w:rPr>
        <w:t xml:space="preserve">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2021 - 202</w:t>
      </w:r>
      <w:r w:rsidR="001F3A85" w:rsidRPr="00D64616">
        <w:rPr>
          <w:rFonts w:ascii="Times New Roman" w:hAnsi="Times New Roman" w:cs="Times New Roman"/>
          <w:sz w:val="28"/>
          <w:szCs w:val="28"/>
        </w:rPr>
        <w:t>5</w:t>
      </w:r>
      <w:r w:rsidRPr="00995CA1">
        <w:rPr>
          <w:rFonts w:ascii="Times New Roman" w:hAnsi="Times New Roman" w:cs="Times New Roman"/>
          <w:sz w:val="28"/>
          <w:szCs w:val="28"/>
        </w:rPr>
        <w:t xml:space="preserve"> годах основные усилия Правительства Курской области и Корпорации будут сосредоточены на развитии созданных промышленных парков </w:t>
      </w:r>
      <w:proofErr w:type="gramStart"/>
      <w:r w:rsidRPr="00995CA1">
        <w:rPr>
          <w:rFonts w:ascii="Times New Roman" w:hAnsi="Times New Roman" w:cs="Times New Roman"/>
          <w:sz w:val="28"/>
          <w:szCs w:val="28"/>
        </w:rPr>
        <w:t>в</w:t>
      </w:r>
      <w:proofErr w:type="gramEnd"/>
      <w:r w:rsidRPr="00995CA1">
        <w:rPr>
          <w:rFonts w:ascii="Times New Roman" w:hAnsi="Times New Roman" w:cs="Times New Roman"/>
          <w:sz w:val="28"/>
          <w:szCs w:val="28"/>
        </w:rPr>
        <w:t xml:space="preserve"> </w:t>
      </w:r>
      <w:proofErr w:type="gramStart"/>
      <w:r w:rsidRPr="00995CA1">
        <w:rPr>
          <w:rFonts w:ascii="Times New Roman" w:hAnsi="Times New Roman" w:cs="Times New Roman"/>
          <w:sz w:val="28"/>
          <w:szCs w:val="28"/>
        </w:rPr>
        <w:t>Курском</w:t>
      </w:r>
      <w:proofErr w:type="gramEnd"/>
      <w:r w:rsidRPr="00995CA1">
        <w:rPr>
          <w:rFonts w:ascii="Times New Roman" w:hAnsi="Times New Roman" w:cs="Times New Roman"/>
          <w:sz w:val="28"/>
          <w:szCs w:val="28"/>
        </w:rPr>
        <w:t xml:space="preserve"> и </w:t>
      </w:r>
      <w:proofErr w:type="spellStart"/>
      <w:r w:rsidRPr="00995CA1">
        <w:rPr>
          <w:rFonts w:ascii="Times New Roman" w:hAnsi="Times New Roman" w:cs="Times New Roman"/>
          <w:sz w:val="28"/>
          <w:szCs w:val="28"/>
        </w:rPr>
        <w:t>Щигровском</w:t>
      </w:r>
      <w:proofErr w:type="spellEnd"/>
      <w:r w:rsidRPr="00995CA1">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w:t>
      </w:r>
      <w:r w:rsidR="00D64616">
        <w:rPr>
          <w:rFonts w:ascii="Times New Roman" w:hAnsi="Times New Roman" w:cs="Times New Roman"/>
          <w:sz w:val="28"/>
          <w:szCs w:val="28"/>
        </w:rPr>
        <w:t>Правительства</w:t>
      </w:r>
      <w:r w:rsidRPr="004C5D19">
        <w:rPr>
          <w:rFonts w:ascii="Times New Roman" w:hAnsi="Times New Roman" w:cs="Times New Roman"/>
          <w:sz w:val="28"/>
          <w:szCs w:val="28"/>
        </w:rPr>
        <w:t xml:space="preserve">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w:t>
      </w:r>
      <w:proofErr w:type="gramStart"/>
      <w:r w:rsidR="0021081C" w:rsidRPr="0077776F">
        <w:rPr>
          <w:rFonts w:ascii="Times New Roman" w:hAnsi="Times New Roman" w:cs="Times New Roman"/>
          <w:sz w:val="28"/>
          <w:szCs w:val="28"/>
        </w:rPr>
        <w:t xml:space="preserve">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w:t>
      </w:r>
      <w:proofErr w:type="spellStart"/>
      <w:r w:rsidR="00E57AC6" w:rsidRPr="0077776F">
        <w:rPr>
          <w:rFonts w:ascii="Times New Roman" w:hAnsi="Times New Roman" w:cs="Times New Roman"/>
          <w:sz w:val="28"/>
          <w:szCs w:val="28"/>
        </w:rPr>
        <w:t>муниципально-частном</w:t>
      </w:r>
      <w:proofErr w:type="spellEnd"/>
      <w:r w:rsidR="00E57AC6" w:rsidRPr="0077776F">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Российской Федерации».</w:t>
      </w:r>
      <w:proofErr w:type="gramEnd"/>
      <w:r w:rsidR="00E57AC6" w:rsidRPr="007C4F42">
        <w:rPr>
          <w:rFonts w:ascii="Times New Roman" w:hAnsi="Times New Roman" w:cs="Times New Roman"/>
          <w:sz w:val="28"/>
          <w:szCs w:val="28"/>
        </w:rPr>
        <w:t xml:space="preserve"> </w:t>
      </w:r>
      <w:r w:rsidR="00FD6D75" w:rsidRPr="007C4F42">
        <w:rPr>
          <w:rFonts w:ascii="Times New Roman" w:hAnsi="Times New Roman" w:cs="Times New Roman"/>
          <w:sz w:val="28"/>
          <w:szCs w:val="28"/>
        </w:rPr>
        <w:t xml:space="preserve">Системная работа </w:t>
      </w:r>
      <w:r w:rsidR="00AE17D5">
        <w:rPr>
          <w:rFonts w:ascii="Times New Roman" w:hAnsi="Times New Roman" w:cs="Times New Roman"/>
          <w:sz w:val="28"/>
          <w:szCs w:val="28"/>
        </w:rPr>
        <w:t>Правительства</w:t>
      </w:r>
      <w:r w:rsidR="00FD6D75" w:rsidRPr="007C4F42">
        <w:rPr>
          <w:rFonts w:ascii="Times New Roman" w:hAnsi="Times New Roman" w:cs="Times New Roman"/>
          <w:sz w:val="28"/>
          <w:szCs w:val="28"/>
        </w:rPr>
        <w:t xml:space="preserve">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w:t>
      </w:r>
      <w:r w:rsidR="0067063C">
        <w:rPr>
          <w:rFonts w:ascii="Times New Roman" w:hAnsi="Times New Roman" w:cs="Times New Roman"/>
          <w:sz w:val="28"/>
          <w:szCs w:val="28"/>
        </w:rPr>
        <w:t>21</w:t>
      </w:r>
      <w:r w:rsidR="00252850" w:rsidRPr="007C4F42">
        <w:rPr>
          <w:rFonts w:ascii="Times New Roman" w:hAnsi="Times New Roman" w:cs="Times New Roman"/>
          <w:sz w:val="28"/>
          <w:szCs w:val="28"/>
        </w:rPr>
        <w:t xml:space="preserve"> - 202</w:t>
      </w:r>
      <w:r w:rsidR="008C2425">
        <w:rPr>
          <w:rFonts w:ascii="Times New Roman" w:hAnsi="Times New Roman" w:cs="Times New Roman"/>
          <w:sz w:val="28"/>
          <w:szCs w:val="28"/>
        </w:rPr>
        <w:t>5</w:t>
      </w:r>
      <w:r w:rsidRPr="007C4F42">
        <w:rPr>
          <w:rFonts w:ascii="Times New Roman" w:hAnsi="Times New Roman" w:cs="Times New Roman"/>
          <w:sz w:val="28"/>
          <w:szCs w:val="28"/>
        </w:rPr>
        <w:t xml:space="preserve"> годах </w:t>
      </w:r>
      <w:r w:rsidR="0067063C">
        <w:rPr>
          <w:rFonts w:ascii="Times New Roman" w:hAnsi="Times New Roman" w:cs="Times New Roman"/>
          <w:sz w:val="28"/>
          <w:szCs w:val="28"/>
        </w:rPr>
        <w:t>Правительство</w:t>
      </w:r>
      <w:r w:rsidRPr="007C4F42">
        <w:rPr>
          <w:rFonts w:ascii="Times New Roman" w:hAnsi="Times New Roman" w:cs="Times New Roman"/>
          <w:sz w:val="28"/>
          <w:szCs w:val="28"/>
        </w:rPr>
        <w:t xml:space="preserve">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Одним из проблемных вопросов, сдерживающих темпы привлечения инвестиций и на </w:t>
      </w:r>
      <w:proofErr w:type="gramStart"/>
      <w:r w:rsidRPr="007C4F42">
        <w:rPr>
          <w:rFonts w:ascii="Times New Roman" w:hAnsi="Times New Roman" w:cs="Times New Roman"/>
          <w:sz w:val="28"/>
          <w:szCs w:val="28"/>
        </w:rPr>
        <w:t>уровне</w:t>
      </w:r>
      <w:proofErr w:type="gramEnd"/>
      <w:r w:rsidRPr="007C4F42">
        <w:rPr>
          <w:rFonts w:ascii="Times New Roman" w:hAnsi="Times New Roman" w:cs="Times New Roman"/>
          <w:sz w:val="28"/>
          <w:szCs w:val="28"/>
        </w:rPr>
        <w:t xml:space="preserve">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rsid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rsidR="00556741" w:rsidRPr="00642D70" w:rsidRDefault="00430E6B" w:rsidP="00642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2016 – 2025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r w:rsidR="00765B35">
        <w:rPr>
          <w:rFonts w:ascii="Times New Roman" w:hAnsi="Times New Roman" w:cs="Times New Roman"/>
          <w:sz w:val="28"/>
          <w:szCs w:val="28"/>
        </w:rPr>
        <w:t xml:space="preserve"> В период 2013 – 2015 годов приоритеты </w:t>
      </w:r>
      <w:proofErr w:type="gramStart"/>
      <w:r w:rsidR="00765B35">
        <w:rPr>
          <w:rFonts w:ascii="Times New Roman" w:hAnsi="Times New Roman" w:cs="Times New Roman"/>
          <w:sz w:val="28"/>
          <w:szCs w:val="28"/>
        </w:rPr>
        <w:t>актуальны и определены</w:t>
      </w:r>
      <w:proofErr w:type="gramEnd"/>
      <w:r w:rsidR="00765B35">
        <w:rPr>
          <w:rFonts w:ascii="Times New Roman" w:hAnsi="Times New Roman" w:cs="Times New Roman"/>
          <w:sz w:val="28"/>
          <w:szCs w:val="28"/>
        </w:rPr>
        <w:t xml:space="preserve"> в Стратегии социально-экономического развития Курской области на период до 2030 года, утвержденной Законом Курской области от 14 декабря 2020 года № 100-ЗКО, и в Инвестиционной стратегии Курской области до 2025 года, утвержденной </w:t>
      </w:r>
      <w:r w:rsidR="005045F2">
        <w:rPr>
          <w:rFonts w:ascii="Times New Roman" w:hAnsi="Times New Roman" w:cs="Times New Roman"/>
          <w:sz w:val="28"/>
          <w:szCs w:val="28"/>
        </w:rPr>
        <w:t>постановлением Губернатора Курской области от 02.12.2014 № 527-пг.</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6D7163">
        <w:rPr>
          <w:rFonts w:ascii="Times New Roman" w:hAnsi="Times New Roman" w:cs="Times New Roman"/>
          <w:sz w:val="28"/>
          <w:szCs w:val="28"/>
        </w:rPr>
        <w:t>»</w:t>
      </w:r>
      <w:r>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численность постоянных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r w:rsidR="00584DB7">
        <w:rPr>
          <w:rFonts w:ascii="Times New Roman" w:hAnsi="Times New Roman" w:cs="Times New Roman"/>
          <w:sz w:val="28"/>
          <w:szCs w:val="28"/>
        </w:rPr>
        <w:t>;</w:t>
      </w:r>
    </w:p>
    <w:p w:rsidR="00584DB7" w:rsidRPr="008B0E2C" w:rsidRDefault="00584DB7"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подготовленных инструкторов по бережливому производству на </w:t>
      </w:r>
      <w:proofErr w:type="gramStart"/>
      <w:r>
        <w:rPr>
          <w:rFonts w:ascii="Times New Roman" w:hAnsi="Times New Roman" w:cs="Times New Roman"/>
          <w:sz w:val="28"/>
          <w:szCs w:val="28"/>
        </w:rPr>
        <w:t>предприятиях</w:t>
      </w:r>
      <w:proofErr w:type="gramEnd"/>
      <w:r>
        <w:rPr>
          <w:rFonts w:ascii="Times New Roman" w:hAnsi="Times New Roman" w:cs="Times New Roman"/>
          <w:sz w:val="28"/>
          <w:szCs w:val="28"/>
        </w:rPr>
        <w:t xml:space="preserve"> – участниках национального проекта под региональным управлением (с РЦК)</w:t>
      </w:r>
      <w:r w:rsidR="00570EEF">
        <w:rPr>
          <w:rFonts w:ascii="Times New Roman" w:hAnsi="Times New Roman" w:cs="Times New Roman"/>
          <w:sz w:val="28"/>
          <w:szCs w:val="28"/>
        </w:rPr>
        <w:t>,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222,7</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206,6</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году составит не менее </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0 %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570EEF">
        <w:rPr>
          <w:rFonts w:ascii="Times New Roman" w:hAnsi="Times New Roman" w:cs="Times New Roman"/>
          <w:sz w:val="28"/>
          <w:szCs w:val="28"/>
        </w:rPr>
        <w:t>5,7</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w:t>
      </w:r>
      <w:proofErr w:type="gramStart"/>
      <w:r w:rsidRPr="007C4F42">
        <w:rPr>
          <w:rFonts w:ascii="Times New Roman" w:hAnsi="Times New Roman" w:cs="Times New Roman"/>
          <w:sz w:val="28"/>
          <w:szCs w:val="28"/>
        </w:rPr>
        <w:t>предприятиях</w:t>
      </w:r>
      <w:proofErr w:type="gramEnd"/>
      <w:r w:rsidRPr="007C4F42">
        <w:rPr>
          <w:rFonts w:ascii="Times New Roman" w:hAnsi="Times New Roman" w:cs="Times New Roman"/>
          <w:sz w:val="28"/>
          <w:szCs w:val="28"/>
        </w:rPr>
        <w:t xml:space="preserve">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w:t>
      </w:r>
      <w:r w:rsidR="00570EEF">
        <w:rPr>
          <w:rFonts w:ascii="Times New Roman" w:hAnsi="Times New Roman" w:cs="Times New Roman"/>
          <w:sz w:val="28"/>
          <w:szCs w:val="28"/>
        </w:rPr>
        <w:t>1</w:t>
      </w:r>
      <w:r w:rsidR="00773636" w:rsidRPr="007C4F42">
        <w:rPr>
          <w:rFonts w:ascii="Times New Roman" w:hAnsi="Times New Roman" w:cs="Times New Roman"/>
          <w:sz w:val="28"/>
          <w:szCs w:val="28"/>
        </w:rPr>
        <w:t>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w:t>
      </w:r>
      <w:r w:rsidR="00570EEF">
        <w:rPr>
          <w:rFonts w:ascii="Times New Roman" w:hAnsi="Times New Roman" w:cs="Times New Roman"/>
          <w:sz w:val="28"/>
          <w:szCs w:val="28"/>
        </w:rPr>
        <w:t>2</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5</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оставит 7</w:t>
      </w:r>
      <w:r w:rsidR="006D7163">
        <w:rPr>
          <w:rFonts w:ascii="Times New Roman" w:hAnsi="Times New Roman" w:cs="Times New Roman"/>
          <w:sz w:val="28"/>
          <w:szCs w:val="28"/>
        </w:rPr>
        <w:t>6</w:t>
      </w:r>
      <w:r w:rsidR="00570EEF">
        <w:rPr>
          <w:rFonts w:ascii="Times New Roman" w:hAnsi="Times New Roman" w:cs="Times New Roman"/>
          <w:sz w:val="28"/>
          <w:szCs w:val="28"/>
        </w:rPr>
        <w:t>8</w:t>
      </w:r>
      <w:r w:rsidRPr="008B0E2C">
        <w:rPr>
          <w:rFonts w:ascii="Times New Roman" w:hAnsi="Times New Roman" w:cs="Times New Roman"/>
          <w:sz w:val="28"/>
          <w:szCs w:val="28"/>
        </w:rPr>
        <w:t xml:space="preserve">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7163">
        <w:rPr>
          <w:rFonts w:ascii="Times New Roman" w:hAnsi="Times New Roman" w:cs="Times New Roman"/>
          <w:sz w:val="28"/>
          <w:szCs w:val="28"/>
        </w:rPr>
        <w:t>390</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2</w:t>
      </w:r>
      <w:r w:rsidR="00570EEF">
        <w:rPr>
          <w:rFonts w:ascii="Times New Roman" w:hAnsi="Times New Roman" w:cs="Times New Roman"/>
          <w:sz w:val="28"/>
          <w:szCs w:val="28"/>
        </w:rPr>
        <w:t>72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90 человек;</w:t>
      </w:r>
    </w:p>
    <w:p w:rsidR="003F7C57"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3</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93ACB" w:rsidRPr="008B0E2C" w:rsidRDefault="00393ACB" w:rsidP="003F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подготовленных инструкторов по бережливому производству на </w:t>
      </w:r>
      <w:proofErr w:type="gramStart"/>
      <w:r>
        <w:rPr>
          <w:rFonts w:ascii="Times New Roman" w:hAnsi="Times New Roman" w:cs="Times New Roman"/>
          <w:sz w:val="28"/>
          <w:szCs w:val="28"/>
        </w:rPr>
        <w:t>предприятиях</w:t>
      </w:r>
      <w:proofErr w:type="gramEnd"/>
      <w:r>
        <w:rPr>
          <w:rFonts w:ascii="Times New Roman" w:hAnsi="Times New Roman" w:cs="Times New Roman"/>
          <w:sz w:val="28"/>
          <w:szCs w:val="28"/>
        </w:rPr>
        <w:t xml:space="preserve"> – участниках национального проекта под региональным управлением (с РЦК) в 2022 – 2025 годах составит 60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реализованы в 2022 – 202</w:t>
      </w:r>
      <w:r w:rsidR="00393ACB">
        <w:rPr>
          <w:rFonts w:ascii="Times New Roman" w:hAnsi="Times New Roman" w:cs="Times New Roman"/>
          <w:sz w:val="28"/>
          <w:szCs w:val="28"/>
        </w:rPr>
        <w:t>5</w:t>
      </w:r>
      <w:r w:rsidRPr="008B0E2C">
        <w:rPr>
          <w:rFonts w:ascii="Times New Roman" w:hAnsi="Times New Roman" w:cs="Times New Roman"/>
          <w:sz w:val="28"/>
          <w:szCs w:val="28"/>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w:t>
      </w:r>
      <w:r w:rsidR="00BA269E">
        <w:rPr>
          <w:rFonts w:ascii="Times New Roman" w:hAnsi="Times New Roman"/>
          <w:sz w:val="28"/>
          <w:szCs w:val="28"/>
        </w:rPr>
        <w:t>АО «Корпорация развития Курской области».</w:t>
      </w:r>
    </w:p>
    <w:p w:rsidR="00106B17" w:rsidRDefault="00106B17"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w:t>
      </w:r>
      <w:r>
        <w:rPr>
          <w:rFonts w:ascii="Times New Roman" w:hAnsi="Times New Roman" w:cs="Times New Roman"/>
          <w:sz w:val="28"/>
          <w:szCs w:val="28"/>
        </w:rPr>
        <w:t>Производительность труда».</w:t>
      </w:r>
    </w:p>
    <w:p w:rsidR="00106B17" w:rsidRDefault="00106B17" w:rsidP="006D716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Зн</w:t>
      </w:r>
      <w:r>
        <w:rPr>
          <w:rFonts w:ascii="Times New Roman" w:hAnsi="Times New Roman" w:cs="Times New Roman"/>
          <w:sz w:val="28"/>
          <w:szCs w:val="28"/>
          <w:lang w:eastAsia="ru-RU"/>
        </w:rPr>
        <w:t>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87498A"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Реализация подпрограммы будет осуществляться в 2014-202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1.02 «Государственная поддержка инвестиционной и </w:t>
      </w:r>
      <w:proofErr w:type="gramStart"/>
      <w:r>
        <w:rPr>
          <w:rFonts w:ascii="Times New Roman" w:hAnsi="Times New Roman" w:cs="Times New Roman"/>
          <w:sz w:val="28"/>
          <w:szCs w:val="28"/>
        </w:rPr>
        <w:t>инновационной</w:t>
      </w:r>
      <w:proofErr w:type="gramEnd"/>
      <w:r>
        <w:rPr>
          <w:rFonts w:ascii="Times New Roman" w:hAnsi="Times New Roman" w:cs="Times New Roman"/>
          <w:sz w:val="28"/>
          <w:szCs w:val="28"/>
        </w:rPr>
        <w:t xml:space="preserve">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6D7163" w:rsidRDefault="008F5F81"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Default="00CB2A1D" w:rsidP="006D7163">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rsidR="00CB2A1D"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rsidR="006D7163"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г) заключение соглашений о сотрудничестве между </w:t>
      </w:r>
      <w:r w:rsidR="005A28C8">
        <w:rPr>
          <w:rFonts w:ascii="Times New Roman" w:hAnsi="Times New Roman" w:cs="Times New Roman"/>
          <w:sz w:val="28"/>
          <w:szCs w:val="28"/>
        </w:rPr>
        <w:t>Правительством</w:t>
      </w:r>
      <w:r w:rsidRPr="007C4F42">
        <w:rPr>
          <w:rFonts w:ascii="Times New Roman" w:hAnsi="Times New Roman" w:cs="Times New Roman"/>
          <w:sz w:val="28"/>
          <w:szCs w:val="28"/>
        </w:rPr>
        <w:t xml:space="preserve">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proofErr w:type="gramStart"/>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w:t>
      </w:r>
      <w:proofErr w:type="gramEnd"/>
      <w:r w:rsidRPr="007C4F42">
        <w:rPr>
          <w:rFonts w:ascii="Times New Roman" w:hAnsi="Times New Roman" w:cs="Times New Roman"/>
          <w:sz w:val="28"/>
          <w:szCs w:val="28"/>
        </w:rPr>
        <w:t xml:space="preserve">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w:t>
      </w:r>
      <w:proofErr w:type="gramStart"/>
      <w:r w:rsidRPr="007C4F42">
        <w:rPr>
          <w:rFonts w:ascii="Times New Roman" w:hAnsi="Times New Roman" w:cs="Times New Roman"/>
          <w:sz w:val="28"/>
          <w:szCs w:val="28"/>
        </w:rPr>
        <w:t>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Одним из важных направлений в решении задачи повышения эффективности деятельности </w:t>
      </w:r>
      <w:r w:rsidR="005A2DE7">
        <w:rPr>
          <w:rFonts w:ascii="Times New Roman" w:hAnsi="Times New Roman" w:cs="Times New Roman"/>
          <w:sz w:val="28"/>
          <w:szCs w:val="28"/>
        </w:rPr>
        <w:t xml:space="preserve">органов исполнительной </w:t>
      </w:r>
      <w:r w:rsidRPr="007C4F42">
        <w:rPr>
          <w:rFonts w:ascii="Times New Roman" w:hAnsi="Times New Roman" w:cs="Times New Roman"/>
          <w:sz w:val="28"/>
          <w:szCs w:val="28"/>
        </w:rPr>
        <w:t>власти</w:t>
      </w:r>
      <w:r w:rsidR="005A2DE7">
        <w:rPr>
          <w:rFonts w:ascii="Times New Roman" w:hAnsi="Times New Roman" w:cs="Times New Roman"/>
          <w:sz w:val="28"/>
          <w:szCs w:val="28"/>
        </w:rPr>
        <w:t xml:space="preserve"> Курской</w:t>
      </w:r>
      <w:r w:rsidRPr="007C4F42">
        <w:rPr>
          <w:rFonts w:ascii="Times New Roman" w:hAnsi="Times New Roman" w:cs="Times New Roman"/>
          <w:sz w:val="28"/>
          <w:szCs w:val="28"/>
        </w:rPr>
        <w:t xml:space="preserve">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w:t>
      </w:r>
      <w:proofErr w:type="spellStart"/>
      <w:r w:rsidR="00CB2A1D" w:rsidRPr="007C4F42">
        <w:rPr>
          <w:rFonts w:ascii="Times New Roman" w:hAnsi="Times New Roman" w:cs="Times New Roman"/>
          <w:sz w:val="28"/>
          <w:szCs w:val="28"/>
        </w:rPr>
        <w:t>FitchRatings</w:t>
      </w:r>
      <w:proofErr w:type="spellEnd"/>
      <w:r w:rsidR="00CB2A1D" w:rsidRPr="007C4F42">
        <w:rPr>
          <w:rFonts w:ascii="Times New Roman" w:hAnsi="Times New Roman" w:cs="Times New Roman"/>
          <w:sz w:val="28"/>
          <w:szCs w:val="28"/>
        </w:rPr>
        <w:t>»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w:t>
      </w:r>
      <w:proofErr w:type="gramStart"/>
      <w:r w:rsidRPr="007C4F42">
        <w:rPr>
          <w:rFonts w:ascii="Times New Roman" w:hAnsi="Times New Roman" w:cs="Times New Roman"/>
          <w:sz w:val="28"/>
          <w:szCs w:val="28"/>
        </w:rPr>
        <w:t>присвоить по национальной шкале и не учитывать</w:t>
      </w:r>
      <w:proofErr w:type="gramEnd"/>
      <w:r w:rsidRPr="007C4F42">
        <w:rPr>
          <w:rFonts w:ascii="Times New Roman" w:hAnsi="Times New Roman" w:cs="Times New Roman"/>
          <w:sz w:val="28"/>
          <w:szCs w:val="28"/>
        </w:rPr>
        <w:t xml:space="preserve"> суверенный </w:t>
      </w:r>
      <w:proofErr w:type="spellStart"/>
      <w:r w:rsidRPr="007C4F42">
        <w:rPr>
          <w:rFonts w:ascii="Times New Roman" w:hAnsi="Times New Roman" w:cs="Times New Roman"/>
          <w:sz w:val="28"/>
          <w:szCs w:val="28"/>
        </w:rPr>
        <w:t>страновой</w:t>
      </w:r>
      <w:proofErr w:type="spellEnd"/>
      <w:r w:rsidRPr="007C4F42">
        <w:rPr>
          <w:rFonts w:ascii="Times New Roman" w:hAnsi="Times New Roman" w:cs="Times New Roman"/>
          <w:sz w:val="28"/>
          <w:szCs w:val="28"/>
        </w:rPr>
        <w:t xml:space="preserve">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участие в тематических семинарах, конгрессах, конференциях, форумах, совещаниях, </w:t>
      </w:r>
      <w:proofErr w:type="spellStart"/>
      <w:r w:rsidRPr="007C4F42">
        <w:rPr>
          <w:rFonts w:ascii="Times New Roman" w:hAnsi="Times New Roman" w:cs="Times New Roman"/>
          <w:sz w:val="28"/>
          <w:szCs w:val="28"/>
        </w:rPr>
        <w:t>партнериатах</w:t>
      </w:r>
      <w:proofErr w:type="spellEnd"/>
      <w:r w:rsidRPr="007C4F42">
        <w:rPr>
          <w:rFonts w:ascii="Times New Roman" w:hAnsi="Times New Roman" w:cs="Times New Roman"/>
          <w:sz w:val="28"/>
          <w:szCs w:val="28"/>
        </w:rPr>
        <w:t>,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w:t>
      </w:r>
      <w:proofErr w:type="spellStart"/>
      <w:r w:rsidRPr="00995CA1">
        <w:rPr>
          <w:rFonts w:ascii="Times New Roman" w:hAnsi="Times New Roman" w:cs="Times New Roman"/>
          <w:sz w:val="28"/>
          <w:szCs w:val="28"/>
        </w:rPr>
        <w:t>kurskoblinvest.ru</w:t>
      </w:r>
      <w:proofErr w:type="spellEnd"/>
      <w:r w:rsidRPr="00995CA1">
        <w:rPr>
          <w:rFonts w:ascii="Times New Roman" w:hAnsi="Times New Roman" w:cs="Times New Roman"/>
          <w:sz w:val="28"/>
          <w:szCs w:val="28"/>
        </w:rPr>
        <w:t>)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w:t>
      </w:r>
      <w:proofErr w:type="gramStart"/>
      <w:r w:rsidRPr="007C4F42">
        <w:rPr>
          <w:rFonts w:ascii="Times New Roman" w:hAnsi="Times New Roman" w:cs="Times New Roman"/>
          <w:sz w:val="28"/>
          <w:szCs w:val="28"/>
        </w:rPr>
        <w:t>к</w:t>
      </w:r>
      <w:proofErr w:type="gramEnd"/>
      <w:r w:rsidRPr="007C4F42">
        <w:rPr>
          <w:rFonts w:ascii="Times New Roman" w:hAnsi="Times New Roman" w:cs="Times New Roman"/>
          <w:sz w:val="28"/>
          <w:szCs w:val="28"/>
        </w:rPr>
        <w:t xml:space="preserve">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w:t>
      </w:r>
      <w:r w:rsidR="00D33F70">
        <w:rPr>
          <w:rFonts w:ascii="Times New Roman" w:hAnsi="Times New Roman" w:cs="Times New Roman"/>
          <w:sz w:val="28"/>
          <w:szCs w:val="28"/>
        </w:rPr>
        <w:t>Правительству</w:t>
      </w:r>
      <w:r w:rsidRPr="007C4F42">
        <w:rPr>
          <w:rFonts w:ascii="Times New Roman" w:hAnsi="Times New Roman" w:cs="Times New Roman"/>
          <w:sz w:val="28"/>
          <w:szCs w:val="28"/>
        </w:rPr>
        <w:t xml:space="preserve">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Работа по данному направлению осуществляется с целью поддержания на необходимом </w:t>
      </w:r>
      <w:proofErr w:type="gramStart"/>
      <w:r w:rsidRPr="007C4F42">
        <w:rPr>
          <w:rFonts w:ascii="Times New Roman" w:hAnsi="Times New Roman" w:cs="Times New Roman"/>
          <w:sz w:val="28"/>
          <w:szCs w:val="28"/>
        </w:rPr>
        <w:t>уровне</w:t>
      </w:r>
      <w:proofErr w:type="gramEnd"/>
      <w:r w:rsidRPr="007C4F42">
        <w:rPr>
          <w:rFonts w:ascii="Times New Roman" w:hAnsi="Times New Roman" w:cs="Times New Roman"/>
          <w:sz w:val="28"/>
          <w:szCs w:val="28"/>
        </w:rPr>
        <w:t xml:space="preserve"> инвестиционного портала Курской области. Наличие на </w:t>
      </w:r>
      <w:proofErr w:type="gramStart"/>
      <w:r w:rsidRPr="007C4F42">
        <w:rPr>
          <w:rFonts w:ascii="Times New Roman" w:hAnsi="Times New Roman" w:cs="Times New Roman"/>
          <w:sz w:val="28"/>
          <w:szCs w:val="28"/>
        </w:rPr>
        <w:t>портале</w:t>
      </w:r>
      <w:proofErr w:type="gramEnd"/>
      <w:r w:rsidRPr="007C4F42">
        <w:rPr>
          <w:rFonts w:ascii="Times New Roman" w:hAnsi="Times New Roman" w:cs="Times New Roman"/>
          <w:sz w:val="28"/>
          <w:szCs w:val="28"/>
        </w:rPr>
        <w:t xml:space="preserve"> интерактивной карты является обязательным условием функционирования портала.</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w:t>
      </w:r>
      <w:proofErr w:type="gramStart"/>
      <w:r w:rsidRPr="007C4F42">
        <w:rPr>
          <w:rFonts w:ascii="Times New Roman" w:hAnsi="Times New Roman" w:cs="Times New Roman"/>
          <w:sz w:val="28"/>
          <w:szCs w:val="28"/>
        </w:rPr>
        <w:t>актуализироваться и быть</w:t>
      </w:r>
      <w:proofErr w:type="gramEnd"/>
      <w:r w:rsidRPr="007C4F42">
        <w:rPr>
          <w:rFonts w:ascii="Times New Roman" w:hAnsi="Times New Roman" w:cs="Times New Roman"/>
          <w:sz w:val="28"/>
          <w:szCs w:val="28"/>
        </w:rPr>
        <w:t xml:space="preserve">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proofErr w:type="spellStart"/>
      <w:r w:rsidRPr="00995CA1">
        <w:rPr>
          <w:rFonts w:ascii="Times New Roman" w:hAnsi="Times New Roman" w:cs="Times New Roman"/>
          <w:sz w:val="28"/>
          <w:szCs w:val="28"/>
        </w:rPr>
        <w:t>н</w:t>
      </w:r>
      <w:proofErr w:type="spellEnd"/>
      <w:r w:rsidRPr="00995CA1">
        <w:rPr>
          <w:rFonts w:ascii="Times New Roman" w:hAnsi="Times New Roman" w:cs="Times New Roman"/>
          <w:sz w:val="28"/>
          <w:szCs w:val="28"/>
        </w:rPr>
        <w:t>) повышение информационной открытости Курской области для инвесторов.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о) проведение работ по созданию и внедрению единой системы сопровождения и поддержки региональных </w:t>
      </w:r>
      <w:proofErr w:type="spellStart"/>
      <w:r w:rsidRPr="00995CA1">
        <w:rPr>
          <w:rFonts w:ascii="Times New Roman" w:hAnsi="Times New Roman" w:cs="Times New Roman"/>
          <w:sz w:val="28"/>
          <w:szCs w:val="28"/>
        </w:rPr>
        <w:t>инвестпроектов</w:t>
      </w:r>
      <w:proofErr w:type="spellEnd"/>
      <w:r w:rsidRPr="00995CA1">
        <w:rPr>
          <w:rFonts w:ascii="Times New Roman" w:hAnsi="Times New Roman" w:cs="Times New Roman"/>
          <w:sz w:val="28"/>
          <w:szCs w:val="28"/>
        </w:rPr>
        <w:t>;</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4) создание особой экономической зоны промышленно-производственного типа в </w:t>
      </w:r>
      <w:proofErr w:type="gramStart"/>
      <w:r w:rsidRPr="00995CA1">
        <w:rPr>
          <w:rFonts w:ascii="Times New Roman" w:hAnsi="Times New Roman" w:cs="Times New Roman"/>
          <w:sz w:val="28"/>
          <w:szCs w:val="28"/>
        </w:rPr>
        <w:t>г</w:t>
      </w:r>
      <w:proofErr w:type="gramEnd"/>
      <w:r w:rsidRPr="00995CA1">
        <w:rPr>
          <w:rFonts w:ascii="Times New Roman" w:hAnsi="Times New Roman" w:cs="Times New Roman"/>
          <w:sz w:val="28"/>
          <w:szCs w:val="28"/>
        </w:rPr>
        <w:t>. Железногорске и Железногорском районе.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5) создание </w:t>
      </w:r>
      <w:proofErr w:type="gramStart"/>
      <w:r w:rsidRPr="00995CA1">
        <w:rPr>
          <w:rFonts w:ascii="Times New Roman" w:hAnsi="Times New Roman" w:cs="Times New Roman"/>
          <w:sz w:val="28"/>
          <w:szCs w:val="28"/>
        </w:rPr>
        <w:t>инженерной</w:t>
      </w:r>
      <w:proofErr w:type="gramEnd"/>
      <w:r w:rsidRPr="00995CA1">
        <w:rPr>
          <w:rFonts w:ascii="Times New Roman" w:hAnsi="Times New Roman" w:cs="Times New Roman"/>
          <w:sz w:val="28"/>
          <w:szCs w:val="28"/>
        </w:rPr>
        <w:t xml:space="preserve"> и дорожной инфраструктуры индустриальных парков.</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в соответствии с действующим региональным законодательством присвоен статус «Индустриальный (промышленный) парк».</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A131AE" w:rsidRPr="00A131AE" w:rsidRDefault="00A131AE" w:rsidP="00A131AE">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w:t>
      </w:r>
      <w:proofErr w:type="gramEnd"/>
      <w:r w:rsidRPr="00995CA1">
        <w:rPr>
          <w:rFonts w:ascii="Times New Roman" w:hAnsi="Times New Roman" w:cs="Times New Roman"/>
          <w:sz w:val="28"/>
          <w:szCs w:val="28"/>
        </w:rPr>
        <w:t xml:space="preserve"> 2020 г. № 1704 «Об утверждении Правил определения новых инвестиционных проектов, в </w:t>
      </w:r>
      <w:proofErr w:type="gramStart"/>
      <w:r w:rsidRPr="00995CA1">
        <w:rPr>
          <w:rFonts w:ascii="Times New Roman" w:hAnsi="Times New Roman" w:cs="Times New Roman"/>
          <w:sz w:val="28"/>
          <w:szCs w:val="28"/>
        </w:rPr>
        <w:t>целях</w:t>
      </w:r>
      <w:proofErr w:type="gramEnd"/>
      <w:r w:rsidRPr="00995CA1">
        <w:rPr>
          <w:rFonts w:ascii="Times New Roman" w:hAnsi="Times New Roman" w:cs="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w:t>
      </w:r>
      <w:proofErr w:type="gramStart"/>
      <w:r w:rsidRPr="007C4F42">
        <w:rPr>
          <w:rFonts w:ascii="Times New Roman" w:hAnsi="Times New Roman" w:cs="Times New Roman"/>
          <w:sz w:val="28"/>
          <w:szCs w:val="28"/>
        </w:rPr>
        <w:t>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w:t>
      </w:r>
      <w:r w:rsidR="00833441">
        <w:rPr>
          <w:rFonts w:ascii="Times New Roman" w:hAnsi="Times New Roman" w:cs="Times New Roman"/>
          <w:sz w:val="28"/>
          <w:szCs w:val="28"/>
        </w:rPr>
        <w:t>Правительством</w:t>
      </w:r>
      <w:r w:rsidR="00B65EC2" w:rsidRPr="007C4F42">
        <w:rPr>
          <w:rFonts w:ascii="Times New Roman" w:hAnsi="Times New Roman" w:cs="Times New Roman"/>
          <w:sz w:val="28"/>
          <w:szCs w:val="28"/>
        </w:rPr>
        <w:t xml:space="preserve"> Курской области;</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 xml:space="preserve">на привлечение консультантов для работы на </w:t>
      </w:r>
      <w:proofErr w:type="gramStart"/>
      <w:r w:rsidRPr="00B11EAC">
        <w:rPr>
          <w:rFonts w:ascii="Times New Roman" w:hAnsi="Times New Roman" w:cs="Times New Roman"/>
          <w:sz w:val="28"/>
          <w:szCs w:val="28"/>
        </w:rPr>
        <w:t>предприятиях</w:t>
      </w:r>
      <w:proofErr w:type="gramEnd"/>
      <w:r w:rsidRPr="00B11EAC">
        <w:rPr>
          <w:rFonts w:ascii="Times New Roman" w:hAnsi="Times New Roman" w:cs="Times New Roman"/>
          <w:sz w:val="28"/>
          <w:szCs w:val="28"/>
        </w:rPr>
        <w:t>,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A131AE" w:rsidRPr="004C249A" w:rsidRDefault="00A131AE" w:rsidP="00A131AE">
      <w:pPr>
        <w:pStyle w:val="ConsPlusNormal"/>
        <w:ind w:firstLine="709"/>
        <w:jc w:val="both"/>
        <w:rPr>
          <w:rFonts w:ascii="Times New Roman" w:hAnsi="Times New Roman" w:cs="Times New Roman"/>
          <w:sz w:val="28"/>
          <w:szCs w:val="28"/>
        </w:rPr>
      </w:pPr>
      <w:proofErr w:type="gramStart"/>
      <w:r w:rsidRPr="002344D1">
        <w:rPr>
          <w:rFonts w:ascii="Times New Roman" w:hAnsi="Times New Roman" w:cs="Times New Roman"/>
          <w:sz w:val="28"/>
          <w:szCs w:val="28"/>
        </w:rPr>
        <w:t>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w:t>
      </w:r>
      <w:proofErr w:type="gramEnd"/>
      <w:r w:rsidRPr="002344D1">
        <w:rPr>
          <w:rFonts w:ascii="Times New Roman" w:hAnsi="Times New Roman" w:cs="Times New Roman"/>
          <w:sz w:val="28"/>
          <w:szCs w:val="28"/>
        </w:rPr>
        <w:t xml:space="preserve">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w:t>
      </w:r>
      <w:r w:rsidR="004C249A" w:rsidRPr="002344D1">
        <w:rPr>
          <w:rFonts w:ascii="Times New Roman" w:hAnsi="Times New Roman" w:cs="Times New Roman"/>
          <w:sz w:val="28"/>
          <w:szCs w:val="28"/>
        </w:rPr>
        <w:t>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w:t>
      </w:r>
      <w:r w:rsidR="0056439A">
        <w:rPr>
          <w:rFonts w:ascii="Times New Roman" w:hAnsi="Times New Roman" w:cs="Times New Roman"/>
          <w:sz w:val="28"/>
          <w:szCs w:val="28"/>
        </w:rPr>
        <w:t>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2014-2025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87498A">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87498A"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2344D1">
        <w:rPr>
          <w:rFonts w:ascii="Times New Roman" w:hAnsi="Times New Roman" w:cs="Times New Roman"/>
          <w:sz w:val="28"/>
          <w:szCs w:val="28"/>
        </w:rPr>
        <w:t>комплексного</w:t>
      </w:r>
      <w:proofErr w:type="gramEnd"/>
      <w:r w:rsidRPr="002344D1">
        <w:rPr>
          <w:rFonts w:ascii="Times New Roman" w:hAnsi="Times New Roman" w:cs="Times New Roman"/>
          <w:sz w:val="28"/>
          <w:szCs w:val="28"/>
        </w:rPr>
        <w:t xml:space="preserve"> социально-экономического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 за счет средств областного бюджета на реализацию мероприятий подпрограммы в 2014 - 202</w:t>
      </w:r>
      <w:r w:rsidR="000E3733">
        <w:rPr>
          <w:rFonts w:ascii="Times New Roman" w:hAnsi="Times New Roman" w:cs="Times New Roman"/>
          <w:sz w:val="28"/>
          <w:szCs w:val="28"/>
        </w:rPr>
        <w:t>5</w:t>
      </w:r>
      <w:r>
        <w:rPr>
          <w:rFonts w:ascii="Times New Roman" w:hAnsi="Times New Roman" w:cs="Times New Roman"/>
          <w:sz w:val="28"/>
          <w:szCs w:val="28"/>
        </w:rPr>
        <w:t xml:space="preserve"> годах составляет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7</w:t>
      </w:r>
      <w:r w:rsidR="006D7163">
        <w:rPr>
          <w:rFonts w:ascii="Times New Roman" w:hAnsi="Times New Roman" w:cs="Times New Roman"/>
          <w:sz w:val="28"/>
          <w:szCs w:val="28"/>
        </w:rPr>
        <w:t>76 267,925</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65 049,377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w:t>
      </w:r>
      <w:r w:rsidR="00D5434C">
        <w:rPr>
          <w:rFonts w:ascii="Times New Roman" w:hAnsi="Times New Roman" w:cs="Times New Roman"/>
          <w:sz w:val="28"/>
          <w:szCs w:val="28"/>
        </w:rPr>
        <w:t>5 268,080</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w:t>
      </w:r>
      <w:r w:rsidR="00D5434C">
        <w:rPr>
          <w:rFonts w:ascii="Times New Roman" w:hAnsi="Times New Roman" w:cs="Times New Roman"/>
          <w:sz w:val="28"/>
          <w:szCs w:val="28"/>
        </w:rPr>
        <w:t>5 258,080</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2025 год – 45 258,080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0E3733">
        <w:rPr>
          <w:rFonts w:ascii="Times New Roman" w:hAnsi="Times New Roman" w:cs="Times New Roman"/>
          <w:sz w:val="28"/>
          <w:szCs w:val="28"/>
        </w:rPr>
        <w:t>6</w:t>
      </w:r>
      <w:r w:rsidR="006D7163">
        <w:rPr>
          <w:rFonts w:ascii="Times New Roman" w:hAnsi="Times New Roman" w:cs="Times New Roman"/>
          <w:sz w:val="28"/>
          <w:szCs w:val="28"/>
        </w:rPr>
        <w:t>61 229,325</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45 609,277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w:t>
      </w:r>
      <w:r w:rsidR="00D5434C">
        <w:rPr>
          <w:rFonts w:ascii="Times New Roman" w:hAnsi="Times New Roman" w:cs="Times New Roman"/>
          <w:sz w:val="28"/>
          <w:szCs w:val="28"/>
        </w:rPr>
        <w:t>1 263,980</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5434C">
        <w:rPr>
          <w:rFonts w:ascii="Times New Roman" w:hAnsi="Times New Roman" w:cs="Times New Roman"/>
          <w:sz w:val="28"/>
          <w:szCs w:val="28"/>
        </w:rPr>
        <w:t>21 263,980</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2025 год – 21 263,980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0E3733">
        <w:rPr>
          <w:rFonts w:ascii="Times New Roman" w:hAnsi="Times New Roman" w:cs="Times New Roman"/>
          <w:sz w:val="28"/>
          <w:szCs w:val="28"/>
        </w:rPr>
        <w:t>115 038,600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w:t>
      </w:r>
      <w:r w:rsidR="00D5434C">
        <w:rPr>
          <w:rFonts w:ascii="Times New Roman" w:hAnsi="Times New Roman" w:cs="Times New Roman"/>
          <w:sz w:val="28"/>
          <w:szCs w:val="28"/>
        </w:rPr>
        <w:t> </w:t>
      </w:r>
      <w:r>
        <w:rPr>
          <w:rFonts w:ascii="Times New Roman" w:hAnsi="Times New Roman" w:cs="Times New Roman"/>
          <w:sz w:val="28"/>
          <w:szCs w:val="28"/>
        </w:rPr>
        <w:t>0</w:t>
      </w:r>
      <w:r w:rsidR="00D5434C">
        <w:rPr>
          <w:rFonts w:ascii="Times New Roman" w:hAnsi="Times New Roman" w:cs="Times New Roman"/>
          <w:sz w:val="28"/>
          <w:szCs w:val="28"/>
        </w:rPr>
        <w:t>04,100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Pr="006A7B08"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23 994,100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F7" w:rsidRDefault="005837F7" w:rsidP="00917B29">
      <w:pPr>
        <w:spacing w:after="0" w:line="240" w:lineRule="auto"/>
      </w:pPr>
      <w:r>
        <w:separator/>
      </w:r>
    </w:p>
  </w:endnote>
  <w:endnote w:type="continuationSeparator" w:id="0">
    <w:p w:rsidR="005837F7" w:rsidRDefault="005837F7"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F7" w:rsidRDefault="005837F7" w:rsidP="00917B29">
      <w:pPr>
        <w:spacing w:after="0" w:line="240" w:lineRule="auto"/>
      </w:pPr>
      <w:r>
        <w:separator/>
      </w:r>
    </w:p>
  </w:footnote>
  <w:footnote w:type="continuationSeparator" w:id="0">
    <w:p w:rsidR="005837F7" w:rsidRDefault="005837F7"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5837F7" w:rsidRDefault="005837F7">
        <w:pPr>
          <w:pStyle w:val="a4"/>
          <w:jc w:val="center"/>
        </w:pPr>
        <w:fldSimple w:instr=" PAGE   \* MERGEFORMAT ">
          <w:r w:rsidR="006D7163">
            <w:rPr>
              <w:noProof/>
            </w:rPr>
            <w:t>87</w:t>
          </w:r>
        </w:fldSimple>
      </w:p>
    </w:sdtContent>
  </w:sdt>
  <w:p w:rsidR="005837F7" w:rsidRDefault="005837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5837F7" w:rsidRDefault="005837F7">
        <w:pPr>
          <w:pStyle w:val="a4"/>
          <w:jc w:val="center"/>
        </w:pPr>
        <w:fldSimple w:instr=" PAGE   \* MERGEFORMAT ">
          <w:r>
            <w:rPr>
              <w:noProof/>
            </w:rPr>
            <w:t>52</w:t>
          </w:r>
        </w:fldSimple>
      </w:p>
    </w:sdtContent>
  </w:sdt>
  <w:p w:rsidR="005837F7" w:rsidRDefault="005837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5CCC"/>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3733"/>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6158"/>
    <w:rsid w:val="001D6F62"/>
    <w:rsid w:val="001E3B32"/>
    <w:rsid w:val="001F0041"/>
    <w:rsid w:val="001F053D"/>
    <w:rsid w:val="001F3A85"/>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D60"/>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3ACB"/>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9A4"/>
    <w:rsid w:val="00403F9B"/>
    <w:rsid w:val="00416B77"/>
    <w:rsid w:val="00420FBB"/>
    <w:rsid w:val="00422347"/>
    <w:rsid w:val="0042765E"/>
    <w:rsid w:val="00430E6B"/>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249A"/>
    <w:rsid w:val="004C71F3"/>
    <w:rsid w:val="004D34DF"/>
    <w:rsid w:val="004D3CFC"/>
    <w:rsid w:val="004D3D96"/>
    <w:rsid w:val="004D7570"/>
    <w:rsid w:val="004E014B"/>
    <w:rsid w:val="004E31AA"/>
    <w:rsid w:val="004E3792"/>
    <w:rsid w:val="004E7821"/>
    <w:rsid w:val="004F594D"/>
    <w:rsid w:val="00500FE2"/>
    <w:rsid w:val="005045F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741"/>
    <w:rsid w:val="00556BBF"/>
    <w:rsid w:val="00563C60"/>
    <w:rsid w:val="0056439A"/>
    <w:rsid w:val="00570EEF"/>
    <w:rsid w:val="00574873"/>
    <w:rsid w:val="00574FFA"/>
    <w:rsid w:val="00575975"/>
    <w:rsid w:val="00575B12"/>
    <w:rsid w:val="0058044F"/>
    <w:rsid w:val="005837F7"/>
    <w:rsid w:val="00584DB7"/>
    <w:rsid w:val="00584E90"/>
    <w:rsid w:val="005908E9"/>
    <w:rsid w:val="00591F4C"/>
    <w:rsid w:val="0059437B"/>
    <w:rsid w:val="005A28C8"/>
    <w:rsid w:val="005A2DE7"/>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2D70"/>
    <w:rsid w:val="006433C0"/>
    <w:rsid w:val="00655DD5"/>
    <w:rsid w:val="00657C9C"/>
    <w:rsid w:val="00660333"/>
    <w:rsid w:val="006667B6"/>
    <w:rsid w:val="0067063C"/>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79E"/>
    <w:rsid w:val="006D6FC1"/>
    <w:rsid w:val="006D7163"/>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5B35"/>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441"/>
    <w:rsid w:val="00833AA4"/>
    <w:rsid w:val="00837639"/>
    <w:rsid w:val="00837DF0"/>
    <w:rsid w:val="00854D19"/>
    <w:rsid w:val="00854E95"/>
    <w:rsid w:val="00856185"/>
    <w:rsid w:val="00864501"/>
    <w:rsid w:val="00866EB2"/>
    <w:rsid w:val="00867B8C"/>
    <w:rsid w:val="0087498A"/>
    <w:rsid w:val="008805A9"/>
    <w:rsid w:val="00886420"/>
    <w:rsid w:val="008906D0"/>
    <w:rsid w:val="008916FB"/>
    <w:rsid w:val="00893243"/>
    <w:rsid w:val="008964CE"/>
    <w:rsid w:val="008A3491"/>
    <w:rsid w:val="008A57EB"/>
    <w:rsid w:val="008A62C7"/>
    <w:rsid w:val="008B1F1F"/>
    <w:rsid w:val="008B3987"/>
    <w:rsid w:val="008B6C34"/>
    <w:rsid w:val="008B6CDB"/>
    <w:rsid w:val="008C2425"/>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4EFA"/>
    <w:rsid w:val="00A05C88"/>
    <w:rsid w:val="00A079DF"/>
    <w:rsid w:val="00A07DEC"/>
    <w:rsid w:val="00A11B16"/>
    <w:rsid w:val="00A131AE"/>
    <w:rsid w:val="00A13334"/>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7D5"/>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269E"/>
    <w:rsid w:val="00BA7097"/>
    <w:rsid w:val="00BB30A4"/>
    <w:rsid w:val="00BB4721"/>
    <w:rsid w:val="00BB4F5C"/>
    <w:rsid w:val="00BB77D8"/>
    <w:rsid w:val="00BC1220"/>
    <w:rsid w:val="00BC1527"/>
    <w:rsid w:val="00BC1A7C"/>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4818"/>
    <w:rsid w:val="00CE7B2C"/>
    <w:rsid w:val="00CF0897"/>
    <w:rsid w:val="00CF4FEE"/>
    <w:rsid w:val="00CF5433"/>
    <w:rsid w:val="00CF7DF8"/>
    <w:rsid w:val="00D00696"/>
    <w:rsid w:val="00D03764"/>
    <w:rsid w:val="00D11089"/>
    <w:rsid w:val="00D21913"/>
    <w:rsid w:val="00D27DA4"/>
    <w:rsid w:val="00D30928"/>
    <w:rsid w:val="00D33F70"/>
    <w:rsid w:val="00D426BE"/>
    <w:rsid w:val="00D429B8"/>
    <w:rsid w:val="00D42F21"/>
    <w:rsid w:val="00D43066"/>
    <w:rsid w:val="00D51352"/>
    <w:rsid w:val="00D5434C"/>
    <w:rsid w:val="00D56C1E"/>
    <w:rsid w:val="00D64616"/>
    <w:rsid w:val="00D749EC"/>
    <w:rsid w:val="00D8610C"/>
    <w:rsid w:val="00D94673"/>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84B3-037F-4028-A965-65C6C5A1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9634</Words>
  <Characters>74251</Characters>
  <Application>Microsoft Office Word</Application>
  <DocSecurity>0</DocSecurity>
  <Lines>618</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20</cp:revision>
  <cp:lastPrinted>2016-04-06T12:04:00Z</cp:lastPrinted>
  <dcterms:created xsi:type="dcterms:W3CDTF">2022-11-07T13:31:00Z</dcterms:created>
  <dcterms:modified xsi:type="dcterms:W3CDTF">2023-01-16T09:16:00Z</dcterms:modified>
</cp:coreProperties>
</file>