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71B2" w:rsidRPr="00554402" w:rsidRDefault="007371B2" w:rsidP="007371B2">
      <w:pPr>
        <w:jc w:val="center"/>
        <w:rPr>
          <w:b/>
          <w:spacing w:val="6"/>
          <w:sz w:val="32"/>
          <w:szCs w:val="32"/>
          <w:lang w:val="en-US"/>
        </w:rPr>
      </w:pPr>
    </w:p>
    <w:p w:rsidR="007371B2" w:rsidRDefault="007371B2" w:rsidP="007371B2">
      <w:pPr>
        <w:ind w:firstLine="709"/>
        <w:jc w:val="center"/>
        <w:rPr>
          <w:b/>
          <w:spacing w:val="6"/>
          <w:sz w:val="32"/>
          <w:szCs w:val="32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b/>
          <w:sz w:val="28"/>
          <w:szCs w:val="28"/>
        </w:rPr>
      </w:pPr>
    </w:p>
    <w:p w:rsidR="007371B2" w:rsidRPr="00FB5BA7" w:rsidRDefault="007371B2" w:rsidP="007371B2">
      <w:pPr>
        <w:jc w:val="both"/>
        <w:rPr>
          <w:b/>
          <w:sz w:val="28"/>
          <w:szCs w:val="28"/>
        </w:rPr>
      </w:pPr>
    </w:p>
    <w:p w:rsidR="007371B2" w:rsidRDefault="007371B2" w:rsidP="00737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1F63">
        <w:rPr>
          <w:b/>
          <w:sz w:val="28"/>
          <w:szCs w:val="28"/>
        </w:rPr>
        <w:t>О включении выявленн</w:t>
      </w:r>
      <w:r>
        <w:rPr>
          <w:b/>
          <w:sz w:val="28"/>
          <w:szCs w:val="28"/>
        </w:rPr>
        <w:t xml:space="preserve">ых объектов культурного наследия </w:t>
      </w:r>
    </w:p>
    <w:p w:rsidR="007371B2" w:rsidRPr="00A53F06" w:rsidRDefault="007371B2" w:rsidP="00737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7E13">
        <w:rPr>
          <w:b/>
          <w:sz w:val="28"/>
          <w:szCs w:val="28"/>
        </w:rPr>
        <w:t>«</w:t>
      </w:r>
      <w:bookmarkStart w:id="0" w:name="_Hlk184377532"/>
      <w:r w:rsidRPr="00197E13">
        <w:rPr>
          <w:b/>
          <w:sz w:val="28"/>
          <w:szCs w:val="28"/>
        </w:rPr>
        <w:t>Ансамбль усадьбы вел. кн. Михаила Александровича», кон. XIX в.</w:t>
      </w:r>
      <w:r>
        <w:rPr>
          <w:b/>
          <w:sz w:val="28"/>
          <w:szCs w:val="28"/>
        </w:rPr>
        <w:t xml:space="preserve">, </w:t>
      </w:r>
      <w:r w:rsidRPr="00197E13">
        <w:rPr>
          <w:b/>
          <w:sz w:val="28"/>
          <w:szCs w:val="28"/>
        </w:rPr>
        <w:t>«Дом управляющего», кон. XIX в.</w:t>
      </w:r>
      <w:r>
        <w:rPr>
          <w:b/>
          <w:sz w:val="28"/>
          <w:szCs w:val="28"/>
        </w:rPr>
        <w:t xml:space="preserve">, входящего в состав выявленного объекта культурного наследия </w:t>
      </w:r>
      <w:bookmarkStart w:id="1" w:name="_Hlk184377299"/>
      <w:r w:rsidRPr="00197E13">
        <w:rPr>
          <w:b/>
          <w:sz w:val="28"/>
          <w:szCs w:val="28"/>
        </w:rPr>
        <w:t>«Ансамбль усадьбы вел. кн. Михаила Александровича», кон. XIX в.</w:t>
      </w:r>
      <w:bookmarkEnd w:id="1"/>
      <w:r>
        <w:rPr>
          <w:b/>
          <w:sz w:val="28"/>
          <w:szCs w:val="28"/>
        </w:rPr>
        <w:t xml:space="preserve">, </w:t>
      </w:r>
      <w:r w:rsidRPr="00197E13">
        <w:rPr>
          <w:b/>
          <w:sz w:val="28"/>
          <w:szCs w:val="28"/>
        </w:rPr>
        <w:t>«Здание конюшни»</w:t>
      </w:r>
      <w:r>
        <w:rPr>
          <w:b/>
          <w:sz w:val="28"/>
          <w:szCs w:val="28"/>
        </w:rPr>
        <w:t xml:space="preserve">, входящего в состав выявленного объекта культурного наследия </w:t>
      </w:r>
      <w:r w:rsidRPr="00197E13">
        <w:rPr>
          <w:b/>
          <w:sz w:val="28"/>
          <w:szCs w:val="28"/>
        </w:rPr>
        <w:t>«Ансамбль усадьбы вел. кн. Михаила Александровича», кон. XIX в.</w:t>
      </w:r>
      <w:r>
        <w:rPr>
          <w:b/>
          <w:sz w:val="28"/>
          <w:szCs w:val="28"/>
        </w:rPr>
        <w:t xml:space="preserve">, </w:t>
      </w:r>
      <w:r w:rsidRPr="00197E13">
        <w:rPr>
          <w:b/>
          <w:bCs/>
          <w:sz w:val="28"/>
          <w:szCs w:val="28"/>
        </w:rPr>
        <w:t>«Флигель», кон. XIX в.,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входящего в состав выявленного объекта культурного наследия </w:t>
      </w:r>
      <w:r w:rsidRPr="00197E13">
        <w:rPr>
          <w:b/>
          <w:sz w:val="28"/>
          <w:szCs w:val="28"/>
        </w:rPr>
        <w:t>«Ансамбль усадьбы вел. кн. Михаила Александровича», кон. XIX в.</w:t>
      </w:r>
      <w:r>
        <w:rPr>
          <w:b/>
          <w:sz w:val="28"/>
          <w:szCs w:val="28"/>
        </w:rPr>
        <w:t xml:space="preserve">, расположенных по адресу: </w:t>
      </w:r>
      <w:r w:rsidRPr="00197E13">
        <w:rPr>
          <w:b/>
          <w:sz w:val="28"/>
          <w:szCs w:val="28"/>
        </w:rPr>
        <w:t xml:space="preserve">Курская обл., Дмитриевский р-н, </w:t>
      </w:r>
      <w:r>
        <w:rPr>
          <w:b/>
          <w:sz w:val="28"/>
          <w:szCs w:val="28"/>
        </w:rPr>
        <w:t xml:space="preserve">                           </w:t>
      </w:r>
      <w:r w:rsidRPr="00197E13">
        <w:rPr>
          <w:b/>
          <w:sz w:val="28"/>
          <w:szCs w:val="28"/>
        </w:rPr>
        <w:t>п. Первоавгустовский, ул. Кирова</w:t>
      </w:r>
      <w:bookmarkEnd w:id="0"/>
      <w:r w:rsidRPr="004D1F63">
        <w:rPr>
          <w:b/>
          <w:sz w:val="28"/>
          <w:szCs w:val="28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bookmarkStart w:id="2" w:name="_Hlk15297064"/>
      <w:bookmarkEnd w:id="2"/>
      <w:r w:rsidRPr="00197E13">
        <w:rPr>
          <w:b/>
          <w:sz w:val="28"/>
          <w:szCs w:val="28"/>
        </w:rPr>
        <w:t>«Ансамбль усадьбы великого князя Михаила Александровича»</w:t>
      </w:r>
      <w:r w:rsidRPr="004D1F63">
        <w:rPr>
          <w:b/>
          <w:sz w:val="28"/>
          <w:szCs w:val="28"/>
        </w:rPr>
        <w:t xml:space="preserve"> и утверждении границ его территории и режима использования </w:t>
      </w:r>
      <w:r w:rsidRPr="004D1F63">
        <w:rPr>
          <w:b/>
          <w:color w:val="auto"/>
          <w:sz w:val="28"/>
          <w:szCs w:val="28"/>
        </w:rPr>
        <w:t>земельного участка в границах территории</w:t>
      </w:r>
    </w:p>
    <w:p w:rsidR="007371B2" w:rsidRPr="004259E7" w:rsidRDefault="007371B2" w:rsidP="007371B2">
      <w:pPr>
        <w:rPr>
          <w:b/>
          <w:bCs/>
          <w:sz w:val="27"/>
          <w:szCs w:val="27"/>
        </w:rPr>
      </w:pPr>
    </w:p>
    <w:p w:rsidR="007371B2" w:rsidRPr="004259E7" w:rsidRDefault="007371B2" w:rsidP="007371B2">
      <w:pPr>
        <w:ind w:firstLine="709"/>
        <w:jc w:val="both"/>
        <w:rPr>
          <w:sz w:val="28"/>
          <w:szCs w:val="28"/>
        </w:rPr>
      </w:pPr>
      <w:r w:rsidRPr="004259E7">
        <w:rPr>
          <w:sz w:val="28"/>
          <w:szCs w:val="28"/>
        </w:rPr>
        <w:t xml:space="preserve">В соответствии с Федеральным законом от 25 июня 2002 года                № 73-ФЗ «Об объектах культурного наследия (памятниках истории и культуры) народов Российской Федерации», Законом Курской области </w:t>
      </w:r>
      <w:r>
        <w:rPr>
          <w:sz w:val="28"/>
          <w:szCs w:val="28"/>
        </w:rPr>
        <w:t xml:space="preserve">                </w:t>
      </w:r>
      <w:r w:rsidRPr="004259E7">
        <w:rPr>
          <w:sz w:val="28"/>
          <w:szCs w:val="28"/>
        </w:rPr>
        <w:t>от 29 декабря 2005 года № 120-ЗКО «Об объектах культурного наследия Курской области», на основании акта государственной историко-культурной экспертизы</w:t>
      </w:r>
      <w:r>
        <w:rPr>
          <w:sz w:val="28"/>
          <w:szCs w:val="28"/>
        </w:rPr>
        <w:t xml:space="preserve"> </w:t>
      </w:r>
      <w:r w:rsidRPr="004259E7">
        <w:rPr>
          <w:sz w:val="28"/>
          <w:szCs w:val="28"/>
        </w:rPr>
        <w:t xml:space="preserve">от </w:t>
      </w:r>
      <w:r>
        <w:rPr>
          <w:sz w:val="28"/>
          <w:szCs w:val="28"/>
        </w:rPr>
        <w:t>27 ноября 2024 года</w:t>
      </w:r>
      <w:r w:rsidRPr="004259E7">
        <w:rPr>
          <w:sz w:val="28"/>
          <w:szCs w:val="28"/>
        </w:rPr>
        <w:t xml:space="preserve">, выполненной аттестованным государственным экспертом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Муштаковым-Лентовским</w:t>
      </w:r>
      <w:proofErr w:type="spellEnd"/>
      <w:r w:rsidRPr="004259E7">
        <w:rPr>
          <w:sz w:val="28"/>
          <w:szCs w:val="28"/>
        </w:rPr>
        <w:t>, ПРИКАЗЫВАЮ:</w:t>
      </w:r>
    </w:p>
    <w:p w:rsidR="007371B2" w:rsidRPr="00CE66A4" w:rsidRDefault="007371B2" w:rsidP="007371B2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D1F63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 </w:t>
      </w:r>
      <w:r w:rsidRPr="004D1F63">
        <w:rPr>
          <w:sz w:val="28"/>
        </w:rPr>
        <w:t>Включить выявленны</w:t>
      </w:r>
      <w:r>
        <w:rPr>
          <w:sz w:val="28"/>
        </w:rPr>
        <w:t>е</w:t>
      </w:r>
      <w:r w:rsidRPr="004D1F63">
        <w:rPr>
          <w:sz w:val="28"/>
        </w:rPr>
        <w:t xml:space="preserve"> объект</w:t>
      </w:r>
      <w:r>
        <w:rPr>
          <w:sz w:val="28"/>
        </w:rPr>
        <w:t>ы</w:t>
      </w:r>
      <w:r w:rsidRPr="004D1F63">
        <w:rPr>
          <w:sz w:val="28"/>
        </w:rPr>
        <w:t xml:space="preserve"> культурного наследия</w:t>
      </w:r>
      <w:bookmarkStart w:id="3" w:name="_Hlk130553480"/>
      <w:r>
        <w:rPr>
          <w:sz w:val="28"/>
        </w:rPr>
        <w:t xml:space="preserve"> </w:t>
      </w:r>
      <w:bookmarkStart w:id="4" w:name="_Hlk184377695"/>
      <w:bookmarkEnd w:id="3"/>
      <w:r>
        <w:rPr>
          <w:sz w:val="28"/>
        </w:rPr>
        <w:t>«</w:t>
      </w:r>
      <w:r w:rsidRPr="00197E13">
        <w:rPr>
          <w:sz w:val="28"/>
        </w:rPr>
        <w:t xml:space="preserve">Ансамбль усадьбы вел. кн. Михаила Александровича», кон. XIX в., «Дом управляющего», кон. XIX в., входящего в состав выявленного объекта культурного наследия «Ансамбль усадьбы вел. кн. Михаила Александровича», кон. XIX в., «Здание конюшни», входящего в состав выявленного объекта культурного наследия «Ансамбль усадьбы вел. кн. </w:t>
      </w:r>
      <w:r w:rsidRPr="00197E13">
        <w:rPr>
          <w:sz w:val="28"/>
        </w:rPr>
        <w:lastRenderedPageBreak/>
        <w:t>Михаила Александровича», кон. XIX в., «Флигель», кон. XIX в., входящего в состав выявленного объекта культурного наследия «Ансамбль усадьбы вел. кн. Михаила Александровича», кон. XIX в., расположенных по адресу: Курская обл., Дмитриевский р-н,</w:t>
      </w:r>
      <w:r>
        <w:rPr>
          <w:sz w:val="28"/>
        </w:rPr>
        <w:t xml:space="preserve"> </w:t>
      </w:r>
      <w:r w:rsidRPr="00197E13">
        <w:rPr>
          <w:sz w:val="28"/>
        </w:rPr>
        <w:t>п. Первоавгустовский, ул. Кирова</w:t>
      </w:r>
      <w:bookmarkEnd w:id="4"/>
      <w:r w:rsidRPr="004D1F63">
        <w:rPr>
          <w:sz w:val="28"/>
        </w:rPr>
        <w:t>,</w:t>
      </w:r>
      <w:r>
        <w:rPr>
          <w:sz w:val="28"/>
        </w:rPr>
        <w:t xml:space="preserve"> </w:t>
      </w:r>
      <w:r w:rsidRPr="004D1F63">
        <w:rPr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</w:rPr>
        <w:t xml:space="preserve"> </w:t>
      </w:r>
      <w:r w:rsidRPr="004D1F63">
        <w:rPr>
          <w:sz w:val="28"/>
        </w:rPr>
        <w:t>в качестве объекта культурного наследия регионального значения</w:t>
      </w:r>
      <w:r>
        <w:rPr>
          <w:sz w:val="28"/>
        </w:rPr>
        <w:t xml:space="preserve"> </w:t>
      </w:r>
      <w:r w:rsidRPr="00197E13">
        <w:rPr>
          <w:sz w:val="28"/>
        </w:rPr>
        <w:t>«Ансамбль усадьбы великого князя Михаила Александровича»</w:t>
      </w:r>
      <w:r w:rsidRPr="00941559">
        <w:rPr>
          <w:sz w:val="28"/>
        </w:rPr>
        <w:t>,</w:t>
      </w:r>
      <w:r w:rsidRPr="004D1F63">
        <w:rPr>
          <w:sz w:val="28"/>
        </w:rPr>
        <w:t xml:space="preserve"> время</w:t>
      </w:r>
      <w:r>
        <w:rPr>
          <w:sz w:val="28"/>
        </w:rPr>
        <w:t xml:space="preserve">                     </w:t>
      </w:r>
      <w:r w:rsidRPr="004D1F63">
        <w:rPr>
          <w:sz w:val="28"/>
        </w:rPr>
        <w:t xml:space="preserve">создания – </w:t>
      </w:r>
      <w:r w:rsidRPr="00197E13">
        <w:rPr>
          <w:sz w:val="28"/>
        </w:rPr>
        <w:t>кон. XIX в.</w:t>
      </w:r>
      <w:r w:rsidRPr="004D1F63">
        <w:rPr>
          <w:sz w:val="28"/>
        </w:rPr>
        <w:t>, вид</w:t>
      </w:r>
      <w:r>
        <w:rPr>
          <w:sz w:val="28"/>
        </w:rPr>
        <w:t xml:space="preserve"> </w:t>
      </w:r>
      <w:r w:rsidRPr="004D1F63">
        <w:rPr>
          <w:sz w:val="28"/>
        </w:rPr>
        <w:t>объекта –</w:t>
      </w:r>
      <w:r>
        <w:rPr>
          <w:sz w:val="28"/>
        </w:rPr>
        <w:t xml:space="preserve"> ансамбль</w:t>
      </w:r>
      <w:r w:rsidRPr="004D1F63">
        <w:rPr>
          <w:sz w:val="28"/>
        </w:rPr>
        <w:t>, расположенного по адресу: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197E13">
        <w:rPr>
          <w:sz w:val="28"/>
        </w:rPr>
        <w:t>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</w:r>
      <w:r>
        <w:rPr>
          <w:rFonts w:eastAsiaTheme="minorHAnsi"/>
          <w:color w:val="auto"/>
          <w:sz w:val="28"/>
          <w:szCs w:val="28"/>
          <w:lang w:eastAsia="en-US"/>
        </w:rPr>
        <w:t>, в составе согласно приложению</w:t>
      </w:r>
      <w:r w:rsidRPr="004D1F63">
        <w:rPr>
          <w:rFonts w:eastAsiaTheme="minorHAnsi"/>
          <w:color w:val="auto"/>
          <w:sz w:val="28"/>
          <w:szCs w:val="28"/>
          <w:lang w:eastAsia="en-US"/>
        </w:rPr>
        <w:t>.</w:t>
      </w:r>
      <w:r w:rsidRPr="004D1F63">
        <w:rPr>
          <w:sz w:val="28"/>
        </w:rPr>
        <w:t xml:space="preserve"> </w:t>
      </w:r>
    </w:p>
    <w:p w:rsidR="007371B2" w:rsidRDefault="007371B2" w:rsidP="007371B2">
      <w:pPr>
        <w:ind w:firstLine="709"/>
        <w:jc w:val="both"/>
        <w:rPr>
          <w:sz w:val="28"/>
        </w:rPr>
      </w:pPr>
      <w:r w:rsidRPr="004259E7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 </w:t>
      </w:r>
      <w:r>
        <w:rPr>
          <w:sz w:val="28"/>
        </w:rPr>
        <w:t>Утвердить прилагаемые границы территории объекта культурного наследия регионального значения, указанного в пункте 1 настоящего приказа.</w:t>
      </w:r>
    </w:p>
    <w:p w:rsidR="007371B2" w:rsidRPr="00B050EB" w:rsidRDefault="007371B2" w:rsidP="007371B2">
      <w:pPr>
        <w:ind w:firstLine="709"/>
        <w:jc w:val="both"/>
        <w:rPr>
          <w:sz w:val="28"/>
        </w:rPr>
      </w:pPr>
      <w:r>
        <w:rPr>
          <w:sz w:val="28"/>
        </w:rPr>
        <w:t>3. </w:t>
      </w:r>
      <w:r>
        <w:rPr>
          <w:color w:val="auto"/>
          <w:sz w:val="28"/>
          <w:szCs w:val="28"/>
        </w:rPr>
        <w:t>Утвердить прилагаемый режим использования земельного участка в границах территории объекта культурного наследия регионального значения, указанного в пункте 1 настоящего приказа.</w:t>
      </w:r>
    </w:p>
    <w:p w:rsidR="007371B2" w:rsidRPr="00312766" w:rsidRDefault="007371B2" w:rsidP="007371B2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4259E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90FA0">
        <w:rPr>
          <w:sz w:val="28"/>
        </w:rPr>
        <w:t>Исключить из перечня выявленных объектов культурного наследия, расположенных на территории Курской области,</w:t>
      </w:r>
      <w:r>
        <w:rPr>
          <w:sz w:val="28"/>
        </w:rPr>
        <w:t xml:space="preserve"> </w:t>
      </w:r>
      <w:r w:rsidRPr="00C70E5A">
        <w:rPr>
          <w:sz w:val="28"/>
        </w:rPr>
        <w:t xml:space="preserve">выявленные объекты культурного наследия </w:t>
      </w:r>
      <w:r w:rsidRPr="00197E13">
        <w:rPr>
          <w:sz w:val="28"/>
        </w:rPr>
        <w:t>«Ансамбль усадьбы вел. кн. Михаила Александровича», кон. XIX в., «Дом управляющего», кон. XIX в., входящего в состав выявленного объекта культурного наследия «Ансамбль усадьбы вел. кн. Михаила Александровича», кон. XIX в., «Здание конюшни», входящего в состав выявленного объекта культурного наследия «Ансамбль усадьбы вел. кн. Михаила Александровича», кон. XIX в., «Флигель», кон. XIX в., входящего в состав выявленного объекта культурного наследия «Ансамбль усадьбы вел. кн. Михаила Александровича», кон. XIX в., расположенных по адресу: Курская обл., Дмитриевский р-н, п. Первоавгустовский, ул. Кирова</w:t>
      </w:r>
      <w:r w:rsidRPr="00390FA0">
        <w:rPr>
          <w:sz w:val="28"/>
        </w:rPr>
        <w:t xml:space="preserve">, </w:t>
      </w:r>
      <w:r w:rsidRPr="00197E13">
        <w:rPr>
          <w:sz w:val="28"/>
        </w:rPr>
        <w:t>числящиеся под порядковыми номерами 773, 774, 776, 777.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59E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A5791">
        <w:rPr>
          <w:sz w:val="28"/>
          <w:szCs w:val="28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</w:t>
      </w:r>
      <w:r>
        <w:rPr>
          <w:sz w:val="28"/>
          <w:szCs w:val="28"/>
        </w:rPr>
        <w:t>.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</w:p>
    <w:p w:rsidR="007371B2" w:rsidRDefault="007371B2" w:rsidP="007371B2">
      <w:pPr>
        <w:ind w:firstLine="709"/>
        <w:jc w:val="both"/>
        <w:rPr>
          <w:sz w:val="28"/>
          <w:szCs w:val="28"/>
        </w:rPr>
      </w:pPr>
    </w:p>
    <w:p w:rsidR="007371B2" w:rsidRPr="004259E7" w:rsidRDefault="007371B2" w:rsidP="007371B2">
      <w:pPr>
        <w:ind w:firstLine="709"/>
        <w:jc w:val="both"/>
        <w:rPr>
          <w:sz w:val="28"/>
          <w:szCs w:val="28"/>
        </w:rPr>
      </w:pPr>
    </w:p>
    <w:p w:rsidR="007371B2" w:rsidRPr="00951946" w:rsidRDefault="007371B2" w:rsidP="0073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И.А. </w:t>
      </w:r>
      <w:proofErr w:type="spellStart"/>
      <w:r>
        <w:rPr>
          <w:sz w:val="28"/>
          <w:szCs w:val="28"/>
        </w:rPr>
        <w:t>Мусьял</w:t>
      </w:r>
      <w:proofErr w:type="spellEnd"/>
    </w:p>
    <w:p w:rsidR="007371B2" w:rsidRDefault="007371B2">
      <w:pPr>
        <w:sectPr w:rsidR="007371B2" w:rsidSect="007371B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371B2" w:rsidRPr="005105E3" w:rsidRDefault="007371B2" w:rsidP="007371B2">
      <w:pPr>
        <w:ind w:left="4253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7371B2" w:rsidRDefault="007371B2" w:rsidP="007371B2">
      <w:pPr>
        <w:ind w:left="4253"/>
        <w:jc w:val="center"/>
        <w:rPr>
          <w:sz w:val="28"/>
        </w:rPr>
      </w:pPr>
      <w:r>
        <w:rPr>
          <w:sz w:val="28"/>
        </w:rPr>
        <w:t>п</w:t>
      </w:r>
      <w:r w:rsidRPr="005105E3">
        <w:rPr>
          <w:sz w:val="28"/>
        </w:rPr>
        <w:t>риказ</w:t>
      </w:r>
      <w:r>
        <w:rPr>
          <w:sz w:val="28"/>
        </w:rPr>
        <w:t>ом</w:t>
      </w:r>
      <w:r w:rsidRPr="005105E3">
        <w:rPr>
          <w:sz w:val="28"/>
        </w:rPr>
        <w:t xml:space="preserve"> </w:t>
      </w:r>
      <w:r>
        <w:rPr>
          <w:sz w:val="28"/>
        </w:rPr>
        <w:t xml:space="preserve">Министерства </w:t>
      </w:r>
      <w:r w:rsidRPr="005105E3">
        <w:rPr>
          <w:sz w:val="28"/>
        </w:rPr>
        <w:t>по</w:t>
      </w:r>
      <w:r>
        <w:rPr>
          <w:sz w:val="28"/>
        </w:rPr>
        <w:t xml:space="preserve"> государственной</w:t>
      </w:r>
      <w:r w:rsidRPr="005105E3">
        <w:rPr>
          <w:sz w:val="28"/>
        </w:rPr>
        <w:t xml:space="preserve"> охране объектов культурного наследия</w:t>
      </w:r>
    </w:p>
    <w:p w:rsidR="007371B2" w:rsidRDefault="007371B2" w:rsidP="007371B2">
      <w:pPr>
        <w:ind w:left="4253"/>
        <w:jc w:val="center"/>
        <w:rPr>
          <w:rFonts w:ascii="XO Thames" w:hAnsi="XO Thames"/>
          <w:sz w:val="28"/>
        </w:rPr>
      </w:pPr>
      <w:r>
        <w:rPr>
          <w:sz w:val="28"/>
        </w:rPr>
        <w:t>Курской области</w:t>
      </w:r>
      <w:r>
        <w:rPr>
          <w:rFonts w:ascii="XO Thames" w:hAnsi="XO Thames"/>
          <w:sz w:val="28"/>
        </w:rPr>
        <w:t xml:space="preserve"> </w:t>
      </w:r>
    </w:p>
    <w:p w:rsidR="007371B2" w:rsidRPr="00C5131C" w:rsidRDefault="007371B2" w:rsidP="007371B2">
      <w:pPr>
        <w:ind w:left="4253"/>
        <w:jc w:val="center"/>
        <w:rPr>
          <w:rFonts w:asciiTheme="minorHAnsi" w:hAnsiTheme="minorHAnsi"/>
          <w:sz w:val="28"/>
        </w:rPr>
      </w:pPr>
      <w:r>
        <w:rPr>
          <w:rFonts w:ascii="XO Thames" w:hAnsi="XO Thames"/>
          <w:sz w:val="28"/>
        </w:rPr>
        <w:t>от _____________ №__________</w:t>
      </w:r>
    </w:p>
    <w:p w:rsidR="007371B2" w:rsidRDefault="007371B2" w:rsidP="007371B2">
      <w:pPr>
        <w:jc w:val="center"/>
        <w:rPr>
          <w:rFonts w:asciiTheme="minorHAnsi" w:hAnsiTheme="minorHAnsi"/>
          <w:sz w:val="28"/>
        </w:rPr>
      </w:pPr>
    </w:p>
    <w:p w:rsidR="007371B2" w:rsidRPr="007F12EC" w:rsidRDefault="007371B2" w:rsidP="007371B2">
      <w:pPr>
        <w:jc w:val="center"/>
        <w:rPr>
          <w:rFonts w:asciiTheme="minorHAnsi" w:hAnsiTheme="minorHAnsi"/>
          <w:sz w:val="28"/>
        </w:rPr>
      </w:pPr>
    </w:p>
    <w:p w:rsidR="007371B2" w:rsidRDefault="007371B2" w:rsidP="007371B2">
      <w:pPr>
        <w:shd w:val="clear" w:color="auto" w:fill="FFFFFF"/>
        <w:tabs>
          <w:tab w:val="left" w:pos="4678"/>
        </w:tabs>
        <w:jc w:val="center"/>
        <w:rPr>
          <w:b/>
          <w:sz w:val="28"/>
        </w:rPr>
      </w:pPr>
    </w:p>
    <w:p w:rsidR="007371B2" w:rsidRDefault="007371B2" w:rsidP="007371B2">
      <w:pPr>
        <w:shd w:val="clear" w:color="auto" w:fill="FFFFFF"/>
        <w:tabs>
          <w:tab w:val="left" w:pos="4678"/>
        </w:tabs>
        <w:jc w:val="center"/>
        <w:rPr>
          <w:b/>
          <w:sz w:val="28"/>
        </w:rPr>
      </w:pPr>
      <w:r>
        <w:rPr>
          <w:b/>
          <w:sz w:val="28"/>
        </w:rPr>
        <w:t>Состав объекта</w:t>
      </w:r>
      <w:r w:rsidRPr="000E46E7">
        <w:rPr>
          <w:rFonts w:ascii="XO Thames" w:hAnsi="XO Thames"/>
          <w:b/>
          <w:sz w:val="28"/>
        </w:rPr>
        <w:t xml:space="preserve"> культурного наследия регионального</w:t>
      </w:r>
      <w:r>
        <w:rPr>
          <w:rFonts w:asciiTheme="minorHAnsi" w:hAnsiTheme="minorHAnsi"/>
          <w:b/>
          <w:sz w:val="28"/>
        </w:rPr>
        <w:t xml:space="preserve"> </w:t>
      </w:r>
      <w:r w:rsidRPr="000E46E7">
        <w:rPr>
          <w:rFonts w:ascii="XO Thames" w:hAnsi="XO Thames"/>
          <w:b/>
          <w:sz w:val="28"/>
        </w:rPr>
        <w:t>значения</w:t>
      </w:r>
      <w:r>
        <w:rPr>
          <w:rFonts w:asciiTheme="minorHAnsi" w:hAnsiTheme="minorHAnsi"/>
          <w:b/>
          <w:sz w:val="28"/>
        </w:rPr>
        <w:t xml:space="preserve"> </w:t>
      </w:r>
      <w:r w:rsidRPr="00266300">
        <w:rPr>
          <w:b/>
          <w:sz w:val="28"/>
        </w:rPr>
        <w:t>«Ансамбль усадьбы великого князя Михаила Александровича», кон. XIX в.,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</w:r>
    </w:p>
    <w:p w:rsidR="007371B2" w:rsidRPr="000E46E7" w:rsidRDefault="007371B2" w:rsidP="007371B2">
      <w:pPr>
        <w:shd w:val="clear" w:color="auto" w:fill="FFFFFF"/>
        <w:tabs>
          <w:tab w:val="left" w:pos="4678"/>
        </w:tabs>
        <w:jc w:val="center"/>
        <w:rPr>
          <w:rFonts w:ascii="XO Thames" w:hAnsi="XO Thames"/>
          <w:b/>
          <w:sz w:val="28"/>
        </w:rPr>
      </w:pPr>
    </w:p>
    <w:p w:rsidR="007371B2" w:rsidRDefault="007371B2" w:rsidP="007371B2">
      <w:pPr>
        <w:contextualSpacing/>
        <w:jc w:val="center"/>
        <w:rPr>
          <w:rFonts w:ascii="XO Thames" w:hAnsi="XO Thames"/>
          <w:b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2307"/>
        <w:gridCol w:w="1998"/>
        <w:gridCol w:w="1407"/>
        <w:gridCol w:w="2755"/>
      </w:tblGrid>
      <w:tr w:rsidR="007371B2" w:rsidRPr="001F57E4" w:rsidTr="005421F0">
        <w:tc>
          <w:tcPr>
            <w:tcW w:w="594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49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 w:rsidRPr="001F57E4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152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1407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 w:rsidRPr="001F57E4">
              <w:rPr>
                <w:sz w:val="28"/>
                <w:szCs w:val="28"/>
              </w:rPr>
              <w:t xml:space="preserve">Вид объекта </w:t>
            </w:r>
          </w:p>
        </w:tc>
        <w:tc>
          <w:tcPr>
            <w:tcW w:w="2785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7371B2" w:rsidRPr="001F57E4" w:rsidTr="005421F0">
        <w:tc>
          <w:tcPr>
            <w:tcW w:w="594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 w:rsidRPr="00266300">
              <w:rPr>
                <w:sz w:val="28"/>
                <w:szCs w:val="28"/>
              </w:rPr>
              <w:t>«Дом управляющего»</w:t>
            </w:r>
          </w:p>
        </w:tc>
        <w:tc>
          <w:tcPr>
            <w:tcW w:w="2152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 w:rsidRPr="00266300">
              <w:rPr>
                <w:sz w:val="28"/>
                <w:szCs w:val="28"/>
              </w:rPr>
              <w:t>кон. XIX в.</w:t>
            </w:r>
          </w:p>
        </w:tc>
        <w:tc>
          <w:tcPr>
            <w:tcW w:w="1407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57E4">
              <w:rPr>
                <w:sz w:val="28"/>
                <w:szCs w:val="28"/>
              </w:rPr>
              <w:t>амятник</w:t>
            </w:r>
          </w:p>
        </w:tc>
        <w:tc>
          <w:tcPr>
            <w:tcW w:w="2785" w:type="dxa"/>
          </w:tcPr>
          <w:p w:rsidR="007371B2" w:rsidRPr="006730CF" w:rsidRDefault="007371B2" w:rsidP="005421F0">
            <w:pPr>
              <w:jc w:val="center"/>
              <w:rPr>
                <w:bCs/>
              </w:rPr>
            </w:pPr>
            <w:r w:rsidRPr="00266300">
              <w:rPr>
                <w:bCs/>
                <w:sz w:val="28"/>
              </w:rPr>
              <w:t>Курская область, Дмитриевский</w:t>
            </w:r>
            <w:r>
              <w:rPr>
                <w:bCs/>
                <w:sz w:val="28"/>
              </w:rPr>
              <w:t xml:space="preserve"> </w:t>
            </w:r>
            <w:r w:rsidRPr="00266300">
              <w:rPr>
                <w:bCs/>
                <w:sz w:val="28"/>
              </w:rPr>
              <w:t>район, Первоавгустовский сельсовет, рабочий поселок Первоавгустовский, улица Кирова, дом 1</w:t>
            </w:r>
          </w:p>
        </w:tc>
      </w:tr>
      <w:tr w:rsidR="007371B2" w:rsidRPr="001F57E4" w:rsidTr="005421F0">
        <w:tc>
          <w:tcPr>
            <w:tcW w:w="594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9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 w:rsidRPr="00266300">
              <w:rPr>
                <w:sz w:val="28"/>
                <w:szCs w:val="28"/>
              </w:rPr>
              <w:t>«Здание конюшни»</w:t>
            </w:r>
          </w:p>
        </w:tc>
        <w:tc>
          <w:tcPr>
            <w:tcW w:w="2152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 w:rsidRPr="00266300">
              <w:rPr>
                <w:sz w:val="28"/>
                <w:szCs w:val="28"/>
              </w:rPr>
              <w:t>кон. XIX в.</w:t>
            </w:r>
          </w:p>
        </w:tc>
        <w:tc>
          <w:tcPr>
            <w:tcW w:w="1407" w:type="dxa"/>
          </w:tcPr>
          <w:p w:rsidR="007371B2" w:rsidRPr="001F57E4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57E4">
              <w:rPr>
                <w:sz w:val="28"/>
                <w:szCs w:val="28"/>
              </w:rPr>
              <w:t>амятник</w:t>
            </w:r>
          </w:p>
        </w:tc>
        <w:tc>
          <w:tcPr>
            <w:tcW w:w="2785" w:type="dxa"/>
          </w:tcPr>
          <w:p w:rsidR="007371B2" w:rsidRPr="001A3777" w:rsidRDefault="007371B2" w:rsidP="005421F0">
            <w:pPr>
              <w:jc w:val="center"/>
              <w:rPr>
                <w:bCs/>
                <w:sz w:val="28"/>
                <w:szCs w:val="28"/>
              </w:rPr>
            </w:pPr>
            <w:r w:rsidRPr="00266300">
              <w:rPr>
                <w:bCs/>
                <w:sz w:val="28"/>
              </w:rPr>
              <w:t>Курская область, Дмитриевский район, Первоавгустовский сельсовет, рабочий поселок Первоавгустовский, улица Черняховского, дом</w:t>
            </w:r>
            <w:r>
              <w:rPr>
                <w:bCs/>
                <w:sz w:val="28"/>
              </w:rPr>
              <w:t xml:space="preserve"> </w:t>
            </w:r>
            <w:r w:rsidRPr="00266300">
              <w:rPr>
                <w:bCs/>
                <w:sz w:val="28"/>
              </w:rPr>
              <w:t>1</w:t>
            </w:r>
          </w:p>
        </w:tc>
      </w:tr>
      <w:tr w:rsidR="007371B2" w:rsidRPr="001F57E4" w:rsidTr="005421F0">
        <w:trPr>
          <w:trHeight w:val="2403"/>
        </w:trPr>
        <w:tc>
          <w:tcPr>
            <w:tcW w:w="594" w:type="dxa"/>
          </w:tcPr>
          <w:p w:rsidR="007371B2" w:rsidRDefault="007371B2" w:rsidP="00542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9" w:type="dxa"/>
          </w:tcPr>
          <w:p w:rsidR="007371B2" w:rsidRPr="00266300" w:rsidRDefault="007371B2" w:rsidP="005421F0">
            <w:pPr>
              <w:jc w:val="center"/>
              <w:rPr>
                <w:sz w:val="28"/>
                <w:szCs w:val="28"/>
              </w:rPr>
            </w:pPr>
            <w:r w:rsidRPr="00266300">
              <w:rPr>
                <w:sz w:val="28"/>
                <w:szCs w:val="28"/>
              </w:rPr>
              <w:t>«Флигель»</w:t>
            </w:r>
          </w:p>
        </w:tc>
        <w:tc>
          <w:tcPr>
            <w:tcW w:w="2152" w:type="dxa"/>
          </w:tcPr>
          <w:p w:rsidR="007371B2" w:rsidRPr="00266300" w:rsidRDefault="007371B2" w:rsidP="005421F0">
            <w:pPr>
              <w:jc w:val="center"/>
              <w:rPr>
                <w:sz w:val="28"/>
                <w:szCs w:val="28"/>
              </w:rPr>
            </w:pPr>
            <w:r w:rsidRPr="00266300">
              <w:rPr>
                <w:sz w:val="28"/>
                <w:szCs w:val="28"/>
              </w:rPr>
              <w:t>кон. XIX в.</w:t>
            </w:r>
          </w:p>
        </w:tc>
        <w:tc>
          <w:tcPr>
            <w:tcW w:w="1407" w:type="dxa"/>
          </w:tcPr>
          <w:p w:rsidR="007371B2" w:rsidRDefault="007371B2" w:rsidP="005421F0">
            <w:pPr>
              <w:jc w:val="center"/>
              <w:rPr>
                <w:sz w:val="28"/>
                <w:szCs w:val="28"/>
              </w:rPr>
            </w:pPr>
            <w:r w:rsidRPr="00266300">
              <w:rPr>
                <w:sz w:val="28"/>
                <w:szCs w:val="28"/>
              </w:rPr>
              <w:t>Памятник</w:t>
            </w:r>
          </w:p>
        </w:tc>
        <w:tc>
          <w:tcPr>
            <w:tcW w:w="2785" w:type="dxa"/>
          </w:tcPr>
          <w:p w:rsidR="007371B2" w:rsidRPr="00266300" w:rsidRDefault="007371B2" w:rsidP="005421F0">
            <w:pPr>
              <w:jc w:val="center"/>
              <w:rPr>
                <w:bCs/>
                <w:sz w:val="28"/>
              </w:rPr>
            </w:pPr>
            <w:r w:rsidRPr="00266300">
              <w:rPr>
                <w:bCs/>
                <w:sz w:val="28"/>
              </w:rPr>
              <w:t>Курская область, Дмитриевский район, Первоавгустовский сельсовет, рабочий поселок Первоавгустовский, улица Кирова, дом 3</w:t>
            </w:r>
          </w:p>
        </w:tc>
      </w:tr>
    </w:tbl>
    <w:p w:rsidR="007371B2" w:rsidRDefault="007371B2">
      <w:pPr>
        <w:sectPr w:rsidR="007371B2" w:rsidSect="007371B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371B2" w:rsidRPr="008C3955" w:rsidRDefault="007371B2" w:rsidP="007371B2">
      <w:pPr>
        <w:rPr>
          <w:sz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</w:t>
      </w: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8C3955">
        <w:rPr>
          <w:sz w:val="28"/>
        </w:rPr>
        <w:t>УТВЕРЖДЕН</w:t>
      </w:r>
    </w:p>
    <w:p w:rsidR="007371B2" w:rsidRPr="008C3955" w:rsidRDefault="007371B2" w:rsidP="007371B2">
      <w:pPr>
        <w:ind w:left="4253"/>
        <w:jc w:val="center"/>
        <w:rPr>
          <w:sz w:val="28"/>
        </w:rPr>
      </w:pPr>
      <w:r w:rsidRPr="008C3955">
        <w:rPr>
          <w:sz w:val="28"/>
        </w:rPr>
        <w:t>приказом Министерства по государственной охране объектов культурного наследия</w:t>
      </w:r>
    </w:p>
    <w:p w:rsidR="007371B2" w:rsidRPr="008C3955" w:rsidRDefault="007371B2" w:rsidP="007371B2">
      <w:pPr>
        <w:ind w:left="4253"/>
        <w:jc w:val="center"/>
        <w:rPr>
          <w:rFonts w:ascii="XO Thames" w:hAnsi="XO Thames"/>
          <w:sz w:val="28"/>
        </w:rPr>
      </w:pPr>
      <w:r w:rsidRPr="008C3955">
        <w:rPr>
          <w:sz w:val="28"/>
        </w:rPr>
        <w:t>Курской области</w:t>
      </w:r>
      <w:r w:rsidRPr="008C3955">
        <w:rPr>
          <w:rFonts w:ascii="XO Thames" w:hAnsi="XO Thames"/>
          <w:sz w:val="28"/>
        </w:rPr>
        <w:t xml:space="preserve"> </w:t>
      </w:r>
    </w:p>
    <w:p w:rsidR="007371B2" w:rsidRPr="00337ED9" w:rsidRDefault="007371B2" w:rsidP="007371B2">
      <w:pPr>
        <w:rPr>
          <w:b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                                                             </w:t>
      </w:r>
      <w:r w:rsidRPr="00E32555">
        <w:rPr>
          <w:rFonts w:ascii="XO Thames" w:hAnsi="XO Thames"/>
          <w:sz w:val="28"/>
          <w:szCs w:val="28"/>
        </w:rPr>
        <w:t>от ______________ №________</w:t>
      </w:r>
      <w:r>
        <w:rPr>
          <w:rFonts w:ascii="XO Thames" w:hAnsi="XO Thames"/>
          <w:sz w:val="28"/>
          <w:szCs w:val="28"/>
        </w:rPr>
        <w:softHyphen/>
        <w:t>______</w:t>
      </w:r>
    </w:p>
    <w:p w:rsidR="007371B2" w:rsidRDefault="007371B2" w:rsidP="007371B2">
      <w:pPr>
        <w:rPr>
          <w:b/>
          <w:bCs/>
          <w:sz w:val="28"/>
          <w:szCs w:val="28"/>
        </w:rPr>
      </w:pPr>
    </w:p>
    <w:p w:rsidR="007371B2" w:rsidRDefault="007371B2" w:rsidP="007371B2">
      <w:pPr>
        <w:rPr>
          <w:b/>
          <w:bCs/>
          <w:sz w:val="28"/>
          <w:szCs w:val="28"/>
        </w:rPr>
      </w:pP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  <w:r w:rsidRPr="00EA5170">
        <w:rPr>
          <w:b/>
          <w:bCs/>
          <w:sz w:val="28"/>
          <w:szCs w:val="28"/>
        </w:rPr>
        <w:t xml:space="preserve">Границы территории </w:t>
      </w:r>
      <w:r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:rsidR="007371B2" w:rsidRPr="00AF0790" w:rsidRDefault="007371B2" w:rsidP="007371B2">
      <w:pPr>
        <w:jc w:val="center"/>
        <w:rPr>
          <w:b/>
          <w:bCs/>
          <w:color w:val="auto"/>
          <w:sz w:val="28"/>
          <w:szCs w:val="28"/>
        </w:rPr>
      </w:pPr>
      <w:r w:rsidRPr="00EA5170">
        <w:rPr>
          <w:b/>
          <w:bCs/>
          <w:color w:val="auto"/>
          <w:sz w:val="28"/>
          <w:szCs w:val="28"/>
        </w:rPr>
        <w:t xml:space="preserve">регионального значения </w:t>
      </w:r>
      <w:bookmarkStart w:id="5" w:name="_Hlk184042759"/>
      <w:r w:rsidRPr="00EE094A">
        <w:rPr>
          <w:b/>
          <w:bCs/>
          <w:color w:val="auto"/>
          <w:sz w:val="28"/>
          <w:szCs w:val="28"/>
        </w:rPr>
        <w:t>«Ансамбль усадьбы великого князя Михаила Александровича»</w:t>
      </w:r>
      <w:r w:rsidRPr="0057451E">
        <w:rPr>
          <w:b/>
          <w:bCs/>
          <w:color w:val="auto"/>
          <w:sz w:val="28"/>
          <w:szCs w:val="28"/>
        </w:rPr>
        <w:t xml:space="preserve">, </w:t>
      </w:r>
      <w:r w:rsidRPr="00EE094A">
        <w:rPr>
          <w:b/>
          <w:bCs/>
          <w:color w:val="auto"/>
          <w:sz w:val="28"/>
          <w:szCs w:val="28"/>
        </w:rPr>
        <w:t>кон. XIX в.</w:t>
      </w:r>
      <w:r w:rsidRPr="0057451E">
        <w:rPr>
          <w:b/>
          <w:bCs/>
          <w:color w:val="auto"/>
          <w:sz w:val="28"/>
          <w:szCs w:val="28"/>
        </w:rPr>
        <w:t xml:space="preserve">, расположенного по адресу: </w:t>
      </w:r>
      <w:r w:rsidRPr="00EE094A">
        <w:rPr>
          <w:b/>
          <w:bCs/>
          <w:color w:val="auto"/>
          <w:sz w:val="28"/>
          <w:szCs w:val="28"/>
        </w:rPr>
        <w:t>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</w:r>
      <w:bookmarkEnd w:id="5"/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tbl>
      <w:tblPr>
        <w:tblW w:w="4625" w:type="pct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7"/>
        <w:gridCol w:w="1396"/>
        <w:gridCol w:w="5448"/>
      </w:tblGrid>
      <w:tr w:rsidR="007371B2" w:rsidRPr="0042276B" w:rsidTr="005421F0"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3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02"/>
            <w:bookmarkEnd w:id="6"/>
            <w:r w:rsidRPr="008C395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7371B2" w:rsidRPr="0042276B" w:rsidTr="005421F0">
        <w:trPr>
          <w:trHeight w:val="8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3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северо-запад - 5,30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северо-запад - 139,57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северо-восток - 14,28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северо-восток - 65,13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северо-восток - 13,12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северо-восток - 17,18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юго-восток - 140,80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юго-запад - 17,95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юго-запад - 16,65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юго-запад - 13,47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юго-запад - 30,15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юго-запад - 9,81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юго-запад - 7,32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северо-запад - 4,15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северо-запад - 8,93 м; </w:t>
            </w:r>
          </w:p>
        </w:tc>
      </w:tr>
      <w:tr w:rsidR="007371B2" w:rsidRPr="0042276B" w:rsidTr="005421F0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8C3955" w:rsidRDefault="007371B2" w:rsidP="00542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8C3955" w:rsidRDefault="007371B2" w:rsidP="005421F0">
            <w:pPr>
              <w:pStyle w:val="Default"/>
              <w:jc w:val="both"/>
            </w:pPr>
            <w:r w:rsidRPr="008C3955">
              <w:t xml:space="preserve">На северо-запад в исходную точку - 19,40 м. </w:t>
            </w:r>
          </w:p>
        </w:tc>
      </w:tr>
    </w:tbl>
    <w:p w:rsidR="007371B2" w:rsidRDefault="007371B2" w:rsidP="007371B2">
      <w:pPr>
        <w:rPr>
          <w:b/>
          <w:bCs/>
          <w:sz w:val="28"/>
          <w:szCs w:val="28"/>
          <w:lang w:eastAsia="ar-SA"/>
        </w:rPr>
      </w:pP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bookmarkStart w:id="7" w:name="_Hlk184379452"/>
      <w:r w:rsidRPr="00303D51">
        <w:rPr>
          <w:b/>
          <w:bCs/>
          <w:color w:val="auto"/>
          <w:sz w:val="28"/>
          <w:szCs w:val="28"/>
        </w:rPr>
        <w:t>«Ансамбль усадьбы великого князя Михаила Александровича», кон. XIX в.,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</w:r>
      <w:bookmarkEnd w:id="7"/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  <w:r w:rsidRPr="00303D51">
        <w:rPr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C6161A" wp14:editId="754ABACF">
            <wp:simplePos x="0" y="0"/>
            <wp:positionH relativeFrom="column">
              <wp:posOffset>567055</wp:posOffset>
            </wp:positionH>
            <wp:positionV relativeFrom="paragraph">
              <wp:posOffset>6610985</wp:posOffset>
            </wp:positionV>
            <wp:extent cx="4048125" cy="10115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D51">
        <w:rPr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ED8F75" wp14:editId="0AA569E0">
            <wp:simplePos x="0" y="0"/>
            <wp:positionH relativeFrom="column">
              <wp:posOffset>434340</wp:posOffset>
            </wp:positionH>
            <wp:positionV relativeFrom="paragraph">
              <wp:posOffset>4335145</wp:posOffset>
            </wp:positionV>
            <wp:extent cx="4576910" cy="2247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"/>
                    <a:stretch/>
                  </pic:blipFill>
                  <pic:spPr bwMode="auto">
                    <a:xfrm>
                      <a:off x="0" y="0"/>
                      <a:ext cx="457691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03D51">
        <w:rPr>
          <w:b/>
          <w:bCs/>
          <w:noProof/>
          <w:color w:val="auto"/>
          <w:sz w:val="28"/>
          <w:szCs w:val="28"/>
        </w:rPr>
        <w:drawing>
          <wp:inline distT="0" distB="0" distL="0" distR="0" wp14:anchorId="06DB7F36" wp14:editId="2DABDD03">
            <wp:extent cx="4528310" cy="429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831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p w:rsidR="007371B2" w:rsidRPr="00176831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42"/>
        <w:tblW w:w="4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7371B2" w:rsidTr="005421F0">
        <w:trPr>
          <w:trHeight w:val="2287"/>
        </w:trPr>
        <w:tc>
          <w:tcPr>
            <w:tcW w:w="4949" w:type="dxa"/>
          </w:tcPr>
          <w:p w:rsidR="007371B2" w:rsidRPr="004420A1" w:rsidRDefault="007371B2" w:rsidP="005421F0">
            <w:pPr>
              <w:jc w:val="both"/>
              <w:rPr>
                <w:sz w:val="28"/>
                <w:szCs w:val="28"/>
              </w:rPr>
            </w:pPr>
            <w:r w:rsidRPr="004420A1">
              <w:rPr>
                <w:sz w:val="28"/>
                <w:szCs w:val="28"/>
                <w:lang w:eastAsia="en-US"/>
              </w:rPr>
              <w:t xml:space="preserve">Приложение к границам территории объекта культурного наследия регионального значения </w:t>
            </w:r>
            <w:r w:rsidRPr="00BF0AE8">
              <w:rPr>
                <w:sz w:val="28"/>
                <w:szCs w:val="28"/>
              </w:rPr>
              <w:t>«Ансамбль усадьбы великого князя Михаила Александровича», кон. XIX в.,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      </w:r>
          </w:p>
          <w:p w:rsidR="007371B2" w:rsidRDefault="007371B2" w:rsidP="005421F0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71B2" w:rsidRDefault="007371B2" w:rsidP="005421F0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:rsidR="007371B2" w:rsidRPr="004F2AF5" w:rsidRDefault="007371B2" w:rsidP="007371B2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371B2" w:rsidRDefault="007371B2" w:rsidP="007371B2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:rsidR="007371B2" w:rsidRDefault="007371B2" w:rsidP="007371B2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:rsidR="007371B2" w:rsidRDefault="007371B2" w:rsidP="007371B2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:rsidR="007371B2" w:rsidRDefault="007371B2" w:rsidP="007371B2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:rsidR="007371B2" w:rsidRDefault="007371B2" w:rsidP="007371B2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:rsidR="007371B2" w:rsidRDefault="007371B2" w:rsidP="007371B2">
      <w:pPr>
        <w:rPr>
          <w:sz w:val="28"/>
          <w:szCs w:val="28"/>
        </w:rPr>
      </w:pPr>
    </w:p>
    <w:p w:rsidR="007371B2" w:rsidRDefault="007371B2" w:rsidP="007371B2">
      <w:pPr>
        <w:rPr>
          <w:b/>
          <w:bCs/>
          <w:color w:val="auto"/>
          <w:sz w:val="28"/>
          <w:szCs w:val="28"/>
        </w:rPr>
      </w:pPr>
    </w:p>
    <w:p w:rsidR="007371B2" w:rsidRDefault="007371B2" w:rsidP="007371B2">
      <w:pPr>
        <w:rPr>
          <w:b/>
          <w:bCs/>
          <w:color w:val="auto"/>
          <w:sz w:val="28"/>
          <w:szCs w:val="28"/>
        </w:rPr>
      </w:pP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p w:rsidR="007371B2" w:rsidRDefault="007371B2" w:rsidP="007371B2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>Координаты характерных</w:t>
      </w:r>
      <w:r>
        <w:rPr>
          <w:b/>
          <w:bCs/>
          <w:color w:val="auto"/>
          <w:sz w:val="28"/>
          <w:szCs w:val="28"/>
        </w:rPr>
        <w:t xml:space="preserve"> </w:t>
      </w:r>
      <w:r w:rsidRPr="00254A1A">
        <w:rPr>
          <w:b/>
          <w:bCs/>
          <w:color w:val="auto"/>
          <w:sz w:val="28"/>
          <w:szCs w:val="28"/>
        </w:rPr>
        <w:t xml:space="preserve">(поворотных) точек </w:t>
      </w:r>
      <w:r>
        <w:rPr>
          <w:b/>
          <w:bCs/>
          <w:color w:val="auto"/>
          <w:sz w:val="28"/>
          <w:szCs w:val="28"/>
        </w:rPr>
        <w:t>границ</w:t>
      </w:r>
      <w:r w:rsidRPr="00254A1A">
        <w:rPr>
          <w:b/>
          <w:bCs/>
          <w:color w:val="auto"/>
          <w:sz w:val="28"/>
          <w:szCs w:val="28"/>
        </w:rPr>
        <w:t xml:space="preserve">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Pr="008C3955">
        <w:rPr>
          <w:b/>
          <w:bCs/>
          <w:color w:val="auto"/>
          <w:sz w:val="28"/>
          <w:szCs w:val="28"/>
        </w:rPr>
        <w:t>«Ансамбль усадьбы великого князя Михаила Александровича», кон. XIX в.,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</w:r>
    </w:p>
    <w:p w:rsidR="007371B2" w:rsidRPr="000C2CB9" w:rsidRDefault="007371B2" w:rsidP="007371B2">
      <w:pPr>
        <w:jc w:val="center"/>
        <w:rPr>
          <w:b/>
          <w:bCs/>
          <w:color w:val="auto"/>
          <w:sz w:val="28"/>
          <w:szCs w:val="28"/>
        </w:rPr>
      </w:pPr>
    </w:p>
    <w:p w:rsidR="007371B2" w:rsidRPr="00254A1A" w:rsidRDefault="007371B2" w:rsidP="007371B2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1"/>
        <w:gridCol w:w="1559"/>
        <w:gridCol w:w="1702"/>
        <w:gridCol w:w="1985"/>
      </w:tblGrid>
      <w:tr w:rsidR="007371B2" w:rsidRPr="00254A1A" w:rsidTr="005421F0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7371B2" w:rsidRPr="00254A1A" w:rsidTr="005421F0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7371B2" w:rsidRPr="00254A1A" w:rsidTr="005421F0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B2" w:rsidRDefault="007371B2" w:rsidP="005421F0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ind w:right="-16"/>
              <w:jc w:val="center"/>
              <w:rPr>
                <w:color w:val="auto"/>
                <w:szCs w:val="24"/>
              </w:rPr>
            </w:pPr>
          </w:p>
          <w:p w:rsidR="007371B2" w:rsidRPr="00254A1A" w:rsidRDefault="007371B2" w:rsidP="005421F0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</w:p>
          <w:p w:rsidR="007371B2" w:rsidRPr="00254A1A" w:rsidRDefault="007371B2" w:rsidP="005421F0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254A1A" w:rsidRDefault="007371B2" w:rsidP="005421F0">
            <w:pPr>
              <w:jc w:val="center"/>
              <w:rPr>
                <w:color w:val="auto"/>
                <w:szCs w:val="24"/>
              </w:rPr>
            </w:pP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557802" w:rsidRDefault="007371B2" w:rsidP="005421F0">
            <w:pPr>
              <w:snapToGrid w:val="0"/>
              <w:jc w:val="center"/>
              <w:rPr>
                <w:b/>
                <w:bCs/>
                <w:color w:val="auto"/>
                <w:szCs w:val="24"/>
              </w:rPr>
            </w:pPr>
            <w:r w:rsidRPr="0055780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557802" w:rsidRDefault="007371B2" w:rsidP="005421F0">
            <w:pPr>
              <w:jc w:val="center"/>
              <w:rPr>
                <w:b/>
                <w:bCs/>
                <w:szCs w:val="24"/>
                <w:lang w:bidi="ru-RU"/>
              </w:rPr>
            </w:pPr>
            <w:r w:rsidRPr="00557802">
              <w:rPr>
                <w:b/>
                <w:bCs/>
                <w:szCs w:val="24"/>
                <w:lang w:bidi="ru-RU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557802" w:rsidRDefault="007371B2" w:rsidP="005421F0">
            <w:pPr>
              <w:jc w:val="center"/>
              <w:rPr>
                <w:b/>
                <w:bCs/>
                <w:szCs w:val="24"/>
                <w:lang w:bidi="ru-RU"/>
              </w:rPr>
            </w:pPr>
            <w:r w:rsidRPr="00557802">
              <w:rPr>
                <w:b/>
                <w:bCs/>
                <w:szCs w:val="24"/>
                <w:lang w:bidi="ru-RU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557802" w:rsidRDefault="007371B2" w:rsidP="005421F0">
            <w:pPr>
              <w:jc w:val="center"/>
              <w:rPr>
                <w:b/>
                <w:bCs/>
              </w:rPr>
            </w:pPr>
            <w:r w:rsidRPr="00557802">
              <w:rPr>
                <w:b/>
                <w:bCs/>
              </w:rPr>
              <w:t>4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475572,85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1220970,55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475576,91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1220967,14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5E0D21" w:rsidRDefault="007371B2" w:rsidP="005421F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475690,24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1220885,67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5E0D21" w:rsidRDefault="007371B2" w:rsidP="005421F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475698,22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1220897,51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5E0D21" w:rsidRDefault="007371B2" w:rsidP="005421F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475736,65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1220950,09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475746,84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1220958,36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475756,40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1220972,64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475640,37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1221052,40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475623,00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1221047,86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Pr="00254A1A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475607,28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1221042,37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475594,52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1221038,06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475572,77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1221017,18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475567,36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1221009,00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475565,00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1221002,07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475566,05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1220998,05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475568,17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1220989,38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0165A6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  <w:tr w:rsidR="007371B2" w:rsidRPr="00254A1A" w:rsidTr="005421F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B2" w:rsidRDefault="007371B2" w:rsidP="005421F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475572,85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BF0AE8" w:rsidRDefault="007371B2" w:rsidP="005421F0">
            <w:pPr>
              <w:pStyle w:val="Default"/>
              <w:jc w:val="center"/>
            </w:pPr>
            <w:r w:rsidRPr="00BF0AE8">
              <w:t xml:space="preserve">1220970,55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B2" w:rsidRPr="00FB1F29" w:rsidRDefault="007371B2" w:rsidP="005421F0">
            <w:pPr>
              <w:jc w:val="center"/>
            </w:pPr>
            <w:r w:rsidRPr="000165A6">
              <w:t xml:space="preserve">— </w:t>
            </w:r>
          </w:p>
        </w:tc>
      </w:tr>
    </w:tbl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Default="007371B2" w:rsidP="007371B2">
      <w:pPr>
        <w:rPr>
          <w:rFonts w:eastAsia="Calibri"/>
          <w:sz w:val="27"/>
          <w:szCs w:val="27"/>
          <w:lang w:eastAsia="en-US"/>
        </w:rPr>
      </w:pPr>
    </w:p>
    <w:p w:rsidR="007371B2" w:rsidRPr="008C3955" w:rsidRDefault="007371B2" w:rsidP="007371B2">
      <w:pPr>
        <w:ind w:left="4253"/>
        <w:jc w:val="center"/>
        <w:rPr>
          <w:sz w:val="28"/>
        </w:rPr>
      </w:pPr>
      <w:r w:rsidRPr="008C3955">
        <w:rPr>
          <w:sz w:val="28"/>
        </w:rPr>
        <w:t>УТВЕРЖДЕН</w:t>
      </w:r>
    </w:p>
    <w:p w:rsidR="007371B2" w:rsidRPr="008C3955" w:rsidRDefault="007371B2" w:rsidP="007371B2">
      <w:pPr>
        <w:ind w:left="4253"/>
        <w:jc w:val="center"/>
        <w:rPr>
          <w:sz w:val="28"/>
        </w:rPr>
      </w:pPr>
      <w:r w:rsidRPr="008C3955">
        <w:rPr>
          <w:sz w:val="28"/>
        </w:rPr>
        <w:t>приказом Министерства по государственной охране объектов культурного наследия</w:t>
      </w:r>
    </w:p>
    <w:p w:rsidR="007371B2" w:rsidRPr="008C3955" w:rsidRDefault="007371B2" w:rsidP="007371B2">
      <w:pPr>
        <w:ind w:left="4253"/>
        <w:jc w:val="center"/>
        <w:rPr>
          <w:rFonts w:ascii="XO Thames" w:hAnsi="XO Thames"/>
          <w:sz w:val="28"/>
        </w:rPr>
      </w:pPr>
      <w:r w:rsidRPr="008C3955">
        <w:rPr>
          <w:sz w:val="28"/>
        </w:rPr>
        <w:t>Курской области</w:t>
      </w:r>
      <w:r w:rsidRPr="008C3955">
        <w:rPr>
          <w:rFonts w:ascii="XO Thames" w:hAnsi="XO Thames"/>
          <w:sz w:val="28"/>
        </w:rPr>
        <w:t xml:space="preserve"> </w:t>
      </w:r>
    </w:p>
    <w:p w:rsidR="007371B2" w:rsidRPr="00B6100B" w:rsidRDefault="007371B2" w:rsidP="007371B2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6100B">
        <w:rPr>
          <w:rFonts w:eastAsia="Calibri"/>
          <w:sz w:val="28"/>
          <w:szCs w:val="28"/>
          <w:lang w:eastAsia="en-US"/>
        </w:rPr>
        <w:t>от____________ №_________</w:t>
      </w:r>
      <w:r>
        <w:rPr>
          <w:rFonts w:eastAsia="Calibri"/>
          <w:sz w:val="28"/>
          <w:szCs w:val="28"/>
          <w:lang w:eastAsia="en-US"/>
        </w:rPr>
        <w:t>__</w:t>
      </w:r>
      <w:r w:rsidRPr="00B6100B">
        <w:rPr>
          <w:rFonts w:eastAsia="Calibri"/>
          <w:sz w:val="28"/>
          <w:szCs w:val="28"/>
          <w:lang w:eastAsia="en-US"/>
        </w:rPr>
        <w:t xml:space="preserve"> </w:t>
      </w:r>
    </w:p>
    <w:p w:rsidR="007371B2" w:rsidRPr="001536EE" w:rsidRDefault="007371B2" w:rsidP="007371B2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7371B2" w:rsidRPr="001536EE" w:rsidRDefault="007371B2" w:rsidP="007371B2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7371B2" w:rsidRDefault="007371B2" w:rsidP="007371B2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7371B2" w:rsidRPr="001536EE" w:rsidRDefault="007371B2" w:rsidP="007371B2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:rsidR="007371B2" w:rsidRPr="001536EE" w:rsidRDefault="007371B2" w:rsidP="007371B2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Pr="00BF0AE8">
        <w:rPr>
          <w:b/>
          <w:color w:val="auto"/>
          <w:sz w:val="28"/>
          <w:szCs w:val="28"/>
        </w:rPr>
        <w:t>«Ансамбль усадьбы великого князя Михаила Александровича», кон. XIX в.,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</w:r>
    </w:p>
    <w:p w:rsidR="007371B2" w:rsidRDefault="007371B2" w:rsidP="007371B2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7371B2" w:rsidRPr="004213C8" w:rsidRDefault="007371B2" w:rsidP="007371B2">
      <w:pPr>
        <w:ind w:firstLine="709"/>
        <w:jc w:val="both"/>
        <w:rPr>
          <w:sz w:val="28"/>
          <w:szCs w:val="28"/>
        </w:rPr>
      </w:pPr>
      <w:r w:rsidRPr="004213C8">
        <w:rPr>
          <w:sz w:val="28"/>
          <w:szCs w:val="28"/>
        </w:rPr>
        <w:t>На территории объекта культурного наследия регионального</w:t>
      </w:r>
      <w:r>
        <w:rPr>
          <w:sz w:val="28"/>
          <w:szCs w:val="28"/>
        </w:rPr>
        <w:t xml:space="preserve"> </w:t>
      </w:r>
      <w:r w:rsidRPr="004213C8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BF0AE8">
        <w:rPr>
          <w:sz w:val="28"/>
          <w:szCs w:val="28"/>
        </w:rPr>
        <w:t>«Ансамбль усадьбы великого князя Михаила Александровича», кон. XIX в., расположенного по адресу: Курская область, Дмитриевский район, Первоавгустовский сельсовет, рабочий поселок Первоавгустовский, улица Кирова, дом 1, дом 3, Черняховского, дом 1</w:t>
      </w:r>
    </w:p>
    <w:p w:rsidR="007371B2" w:rsidRPr="005E589A" w:rsidRDefault="007371B2" w:rsidP="007371B2">
      <w:pPr>
        <w:ind w:firstLine="709"/>
        <w:jc w:val="both"/>
        <w:rPr>
          <w:b/>
          <w:bCs/>
          <w:sz w:val="28"/>
          <w:szCs w:val="28"/>
        </w:rPr>
      </w:pPr>
      <w:r w:rsidRPr="004213C8">
        <w:rPr>
          <w:b/>
          <w:bCs/>
          <w:sz w:val="28"/>
          <w:szCs w:val="28"/>
        </w:rPr>
        <w:t>разрешается:</w:t>
      </w:r>
    </w:p>
    <w:p w:rsidR="007371B2" w:rsidRPr="00BF0AE8" w:rsidRDefault="007371B2" w:rsidP="007371B2">
      <w:pPr>
        <w:ind w:firstLine="709"/>
        <w:jc w:val="both"/>
        <w:rPr>
          <w:sz w:val="28"/>
          <w:szCs w:val="28"/>
        </w:rPr>
      </w:pPr>
      <w:r w:rsidRPr="00BF0AE8">
        <w:rPr>
          <w:sz w:val="28"/>
          <w:szCs w:val="28"/>
        </w:rPr>
        <w:t xml:space="preserve">проведение работ по сохранению объекта культурного наследия или его отдельных элементов; </w:t>
      </w:r>
    </w:p>
    <w:p w:rsidR="007371B2" w:rsidRPr="00BF0AE8" w:rsidRDefault="007371B2" w:rsidP="007371B2">
      <w:pPr>
        <w:ind w:firstLine="709"/>
        <w:jc w:val="both"/>
        <w:rPr>
          <w:sz w:val="28"/>
          <w:szCs w:val="28"/>
        </w:rPr>
      </w:pPr>
      <w:r w:rsidRPr="00BF0AE8">
        <w:rPr>
          <w:sz w:val="28"/>
          <w:szCs w:val="28"/>
        </w:rPr>
        <w:t>проведение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наследия;</w:t>
      </w:r>
    </w:p>
    <w:p w:rsidR="007371B2" w:rsidRPr="00BF0AE8" w:rsidRDefault="007371B2" w:rsidP="007371B2">
      <w:pPr>
        <w:ind w:firstLine="709"/>
        <w:jc w:val="both"/>
        <w:rPr>
          <w:sz w:val="28"/>
          <w:szCs w:val="28"/>
        </w:rPr>
      </w:pPr>
      <w:r w:rsidRPr="00BF0AE8">
        <w:rPr>
          <w:sz w:val="28"/>
          <w:szCs w:val="28"/>
        </w:rPr>
        <w:t>прокладка,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пожара;</w:t>
      </w:r>
    </w:p>
    <w:p w:rsidR="007371B2" w:rsidRPr="00BF0AE8" w:rsidRDefault="007371B2" w:rsidP="007371B2">
      <w:pPr>
        <w:ind w:firstLine="709"/>
        <w:jc w:val="both"/>
        <w:rPr>
          <w:sz w:val="28"/>
          <w:szCs w:val="28"/>
        </w:rPr>
      </w:pPr>
      <w:r w:rsidRPr="00BF0AE8">
        <w:rPr>
          <w:sz w:val="28"/>
          <w:szCs w:val="28"/>
        </w:rPr>
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7371B2" w:rsidRPr="00BF0AE8" w:rsidRDefault="007371B2" w:rsidP="007371B2">
      <w:pPr>
        <w:ind w:firstLine="709"/>
        <w:jc w:val="both"/>
        <w:rPr>
          <w:sz w:val="28"/>
          <w:szCs w:val="28"/>
        </w:rPr>
      </w:pPr>
      <w:r w:rsidRPr="00BF0AE8">
        <w:rPr>
          <w:sz w:val="28"/>
          <w:szCs w:val="28"/>
        </w:rPr>
        <w:t>доступность объекта культурного наследия в целях его экспонирования, сохранения его традиционного визуального восприятия.;</w:t>
      </w:r>
    </w:p>
    <w:p w:rsidR="007371B2" w:rsidRPr="00BF0AE8" w:rsidRDefault="007371B2" w:rsidP="007371B2">
      <w:pPr>
        <w:ind w:firstLine="709"/>
        <w:jc w:val="both"/>
        <w:rPr>
          <w:sz w:val="28"/>
          <w:szCs w:val="28"/>
        </w:rPr>
      </w:pPr>
      <w:r w:rsidRPr="00BF0AE8">
        <w:rPr>
          <w:sz w:val="28"/>
          <w:szCs w:val="28"/>
        </w:rPr>
        <w:t>реализация мер пожарной и экологической безопасности;</w:t>
      </w:r>
    </w:p>
    <w:p w:rsidR="007371B2" w:rsidRPr="004213C8" w:rsidRDefault="007371B2" w:rsidP="007371B2">
      <w:pPr>
        <w:ind w:firstLine="709"/>
        <w:jc w:val="both"/>
        <w:rPr>
          <w:b/>
          <w:bCs/>
          <w:sz w:val="28"/>
          <w:szCs w:val="28"/>
        </w:rPr>
      </w:pPr>
      <w:r w:rsidRPr="004213C8">
        <w:rPr>
          <w:b/>
          <w:bCs/>
          <w:sz w:val="28"/>
          <w:szCs w:val="28"/>
        </w:rPr>
        <w:t>запрещается: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 w:rsidRPr="004213C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997CE7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;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Pr="00997CE7">
        <w:rPr>
          <w:sz w:val="28"/>
          <w:szCs w:val="28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>
        <w:rPr>
          <w:sz w:val="28"/>
          <w:szCs w:val="28"/>
        </w:rPr>
        <w:t>;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7CE7">
        <w:rPr>
          <w:sz w:val="28"/>
          <w:szCs w:val="28"/>
        </w:rPr>
        <w:t>скажение характеристик историко-культурного ландшафта, композиционно связанного с объектом культурного наследия</w:t>
      </w:r>
      <w:r>
        <w:rPr>
          <w:sz w:val="28"/>
          <w:szCs w:val="28"/>
        </w:rPr>
        <w:t>;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97CE7">
        <w:rPr>
          <w:sz w:val="28"/>
          <w:szCs w:val="28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>
        <w:rPr>
          <w:sz w:val="28"/>
          <w:szCs w:val="28"/>
        </w:rPr>
        <w:t>;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7CE7">
        <w:rPr>
          <w:sz w:val="28"/>
          <w:szCs w:val="28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>
        <w:rPr>
          <w:sz w:val="28"/>
          <w:szCs w:val="28"/>
        </w:rPr>
        <w:t>;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CE7">
        <w:rPr>
          <w:sz w:val="28"/>
          <w:szCs w:val="28"/>
        </w:rPr>
        <w:t>азмещение любых рекламных конструкций на объекте культурного наследия и его территории</w:t>
      </w:r>
      <w:r>
        <w:rPr>
          <w:sz w:val="28"/>
          <w:szCs w:val="28"/>
        </w:rPr>
        <w:t>;</w:t>
      </w:r>
    </w:p>
    <w:p w:rsidR="007371B2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97CE7">
        <w:rPr>
          <w:sz w:val="28"/>
          <w:szCs w:val="28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>
        <w:rPr>
          <w:sz w:val="28"/>
          <w:szCs w:val="28"/>
        </w:rPr>
        <w:t>;</w:t>
      </w:r>
    </w:p>
    <w:p w:rsidR="007371B2" w:rsidRPr="008C587E" w:rsidRDefault="007371B2" w:rsidP="00737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CE7">
        <w:rPr>
          <w:sz w:val="28"/>
          <w:szCs w:val="28"/>
        </w:rPr>
        <w:t>азмещение временных построек, не связанных с проведением работ по сохранению объекта культурного наследия</w:t>
      </w:r>
      <w:r w:rsidRPr="004213C8">
        <w:rPr>
          <w:sz w:val="28"/>
          <w:szCs w:val="28"/>
        </w:rPr>
        <w:t>.</w:t>
      </w:r>
    </w:p>
    <w:p w:rsidR="00E240DC" w:rsidRDefault="00E240DC"/>
    <w:sectPr w:rsidR="00E240DC" w:rsidSect="007371B2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B2"/>
    <w:rsid w:val="002601E0"/>
    <w:rsid w:val="00281121"/>
    <w:rsid w:val="007371B2"/>
    <w:rsid w:val="00894AB6"/>
    <w:rsid w:val="00E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2374-96E4-44CF-83FE-DD9012B6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71B2"/>
    <w:rPr>
      <w:rFonts w:ascii="Times New Roman" w:hAnsi="Times New Roman"/>
      <w:color w:val="000000"/>
      <w:spacing w:val="0"/>
      <w:sz w:val="24"/>
    </w:rPr>
  </w:style>
  <w:style w:type="table" w:styleId="a3">
    <w:name w:val="Table Grid"/>
    <w:basedOn w:val="a1"/>
    <w:rsid w:val="007371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7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Default">
    <w:name w:val="Default"/>
    <w:rsid w:val="00737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Культурное наследие</dc:creator>
  <cp:keywords/>
  <dc:description/>
  <cp:lastModifiedBy>Культурное наследие</cp:lastModifiedBy>
  <cp:revision>1</cp:revision>
  <dcterms:created xsi:type="dcterms:W3CDTF">2024-12-06T10:04:00Z</dcterms:created>
  <dcterms:modified xsi:type="dcterms:W3CDTF">2024-12-06T10:06:00Z</dcterms:modified>
</cp:coreProperties>
</file>