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74A5" w14:textId="77777777" w:rsidR="00917B29" w:rsidRPr="0077776F" w:rsidRDefault="0021081C"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0" w:name="Par956"/>
      <w:bookmarkEnd w:id="0"/>
      <w:r w:rsidRPr="0077776F">
        <w:rPr>
          <w:rFonts w:ascii="Times New Roman" w:hAnsi="Times New Roman" w:cs="Times New Roman"/>
          <w:b/>
          <w:bCs/>
          <w:sz w:val="28"/>
          <w:szCs w:val="28"/>
        </w:rPr>
        <w:t>14.1. П</w:t>
      </w:r>
      <w:r w:rsidR="00917B29" w:rsidRPr="0077776F">
        <w:rPr>
          <w:rFonts w:ascii="Times New Roman" w:hAnsi="Times New Roman" w:cs="Times New Roman"/>
          <w:b/>
          <w:bCs/>
          <w:sz w:val="28"/>
          <w:szCs w:val="28"/>
        </w:rPr>
        <w:t xml:space="preserve">одпрограмма </w:t>
      </w:r>
      <w:r w:rsidRPr="0077776F">
        <w:rPr>
          <w:rFonts w:ascii="Times New Roman" w:hAnsi="Times New Roman" w:cs="Times New Roman"/>
          <w:b/>
          <w:bCs/>
          <w:sz w:val="28"/>
          <w:szCs w:val="28"/>
        </w:rPr>
        <w:t xml:space="preserve">1 </w:t>
      </w:r>
      <w:r w:rsidR="00917B29" w:rsidRPr="0077776F">
        <w:rPr>
          <w:rFonts w:ascii="Times New Roman" w:hAnsi="Times New Roman" w:cs="Times New Roman"/>
          <w:b/>
          <w:bCs/>
          <w:sz w:val="28"/>
          <w:szCs w:val="28"/>
        </w:rPr>
        <w:t>«</w:t>
      </w:r>
      <w:r w:rsidRPr="0077776F">
        <w:rPr>
          <w:rFonts w:ascii="Times New Roman" w:hAnsi="Times New Roman" w:cs="Times New Roman"/>
          <w:b/>
          <w:bCs/>
          <w:sz w:val="28"/>
          <w:szCs w:val="28"/>
        </w:rPr>
        <w:t>С</w:t>
      </w:r>
      <w:r w:rsidR="00917B29" w:rsidRPr="0077776F">
        <w:rPr>
          <w:rFonts w:ascii="Times New Roman" w:hAnsi="Times New Roman" w:cs="Times New Roman"/>
          <w:b/>
          <w:bCs/>
          <w:sz w:val="28"/>
          <w:szCs w:val="28"/>
        </w:rPr>
        <w:t>оздание благоприятных условий для привлечения инвестиций в экономику Курской области</w:t>
      </w:r>
    </w:p>
    <w:p w14:paraId="4297BD1A" w14:textId="77777777" w:rsidR="00917B29" w:rsidRPr="0077776F" w:rsidRDefault="00917B29"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7776F">
        <w:rPr>
          <w:rFonts w:ascii="Times New Roman" w:hAnsi="Times New Roman" w:cs="Times New Roman"/>
          <w:b/>
          <w:bCs/>
          <w:sz w:val="28"/>
          <w:szCs w:val="28"/>
        </w:rPr>
        <w:t>государственной программы Курской области</w:t>
      </w:r>
    </w:p>
    <w:p w14:paraId="523E5C4C" w14:textId="77777777" w:rsidR="0021081C" w:rsidRPr="0077776F" w:rsidRDefault="00917B29"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7776F">
        <w:rPr>
          <w:rFonts w:ascii="Times New Roman" w:hAnsi="Times New Roman" w:cs="Times New Roman"/>
          <w:b/>
          <w:bCs/>
          <w:sz w:val="28"/>
          <w:szCs w:val="28"/>
        </w:rPr>
        <w:t>«Развитие экономики и внешних связей Курской области»</w:t>
      </w:r>
    </w:p>
    <w:p w14:paraId="3D679EE2" w14:textId="77777777" w:rsidR="0021081C" w:rsidRPr="0077776F" w:rsidRDefault="0021081C">
      <w:pPr>
        <w:widowControl w:val="0"/>
        <w:autoSpaceDE w:val="0"/>
        <w:autoSpaceDN w:val="0"/>
        <w:adjustRightInd w:val="0"/>
        <w:spacing w:after="0" w:line="240" w:lineRule="auto"/>
        <w:jc w:val="center"/>
        <w:rPr>
          <w:rFonts w:ascii="Times New Roman" w:hAnsi="Times New Roman" w:cs="Times New Roman"/>
          <w:b/>
          <w:bCs/>
          <w:sz w:val="24"/>
          <w:szCs w:val="24"/>
        </w:rPr>
      </w:pPr>
    </w:p>
    <w:p w14:paraId="4B4724AF" w14:textId="77777777" w:rsidR="0021081C" w:rsidRPr="0077776F" w:rsidRDefault="0021081C">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 w:name="Par964"/>
      <w:bookmarkEnd w:id="1"/>
      <w:r w:rsidRPr="0077776F">
        <w:rPr>
          <w:rFonts w:ascii="Times New Roman" w:hAnsi="Times New Roman" w:cs="Times New Roman"/>
          <w:sz w:val="24"/>
          <w:szCs w:val="24"/>
        </w:rPr>
        <w:t>ПАСПОРТ</w:t>
      </w:r>
    </w:p>
    <w:p w14:paraId="03572C96" w14:textId="77777777"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подпрограммы 1 </w:t>
      </w:r>
      <w:r w:rsidR="007747E4" w:rsidRPr="0077776F">
        <w:rPr>
          <w:rFonts w:ascii="Times New Roman" w:hAnsi="Times New Roman" w:cs="Times New Roman"/>
          <w:sz w:val="24"/>
          <w:szCs w:val="24"/>
        </w:rPr>
        <w:t>«</w:t>
      </w:r>
      <w:r w:rsidRPr="0077776F">
        <w:rPr>
          <w:rFonts w:ascii="Times New Roman" w:hAnsi="Times New Roman" w:cs="Times New Roman"/>
          <w:sz w:val="24"/>
          <w:szCs w:val="24"/>
        </w:rPr>
        <w:t>Создание благоприятных условий</w:t>
      </w:r>
    </w:p>
    <w:p w14:paraId="42563642" w14:textId="77777777"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для привлечения инвести</w:t>
      </w:r>
      <w:r w:rsidR="007747E4" w:rsidRPr="0077776F">
        <w:rPr>
          <w:rFonts w:ascii="Times New Roman" w:hAnsi="Times New Roman" w:cs="Times New Roman"/>
          <w:sz w:val="24"/>
          <w:szCs w:val="24"/>
        </w:rPr>
        <w:t>ций в экономику Курской области»</w:t>
      </w:r>
    </w:p>
    <w:p w14:paraId="006C4B8F" w14:textId="77777777" w:rsidR="0021081C" w:rsidRPr="0077776F" w:rsidRDefault="0021081C">
      <w:pPr>
        <w:widowControl w:val="0"/>
        <w:autoSpaceDE w:val="0"/>
        <w:autoSpaceDN w:val="0"/>
        <w:adjustRightInd w:val="0"/>
        <w:spacing w:after="0" w:line="240" w:lineRule="auto"/>
        <w:jc w:val="both"/>
        <w:rPr>
          <w:rFonts w:ascii="Times New Roman" w:hAnsi="Times New Roman" w:cs="Times New Roman"/>
          <w:sz w:val="16"/>
          <w:szCs w:val="16"/>
        </w:rPr>
      </w:pPr>
    </w:p>
    <w:tbl>
      <w:tblPr>
        <w:tblW w:w="0" w:type="auto"/>
        <w:tblCellSpacing w:w="5" w:type="nil"/>
        <w:tblInd w:w="2" w:type="dxa"/>
        <w:tblLayout w:type="fixed"/>
        <w:tblCellMar>
          <w:left w:w="75" w:type="dxa"/>
          <w:right w:w="75" w:type="dxa"/>
        </w:tblCellMar>
        <w:tblLook w:val="0000" w:firstRow="0" w:lastRow="0" w:firstColumn="0" w:lastColumn="0" w:noHBand="0" w:noVBand="0"/>
      </w:tblPr>
      <w:tblGrid>
        <w:gridCol w:w="3175"/>
        <w:gridCol w:w="340"/>
        <w:gridCol w:w="5630"/>
      </w:tblGrid>
      <w:tr w:rsidR="0021081C" w:rsidRPr="007C4F42" w14:paraId="0A861770" w14:textId="77777777" w:rsidTr="008916FB">
        <w:trPr>
          <w:tblCellSpacing w:w="5" w:type="nil"/>
        </w:trPr>
        <w:tc>
          <w:tcPr>
            <w:tcW w:w="3175" w:type="dxa"/>
          </w:tcPr>
          <w:p w14:paraId="559B6EA9" w14:textId="77777777" w:rsidR="008916FB"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 xml:space="preserve">Ответственный исполнитель </w:t>
            </w:r>
          </w:p>
          <w:p w14:paraId="46F12EB3" w14:textId="77777777" w:rsidR="008916FB" w:rsidRPr="007C4F42" w:rsidRDefault="000B7D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21081C" w:rsidRPr="007C4F42">
              <w:rPr>
                <w:rFonts w:ascii="Times New Roman" w:hAnsi="Times New Roman" w:cs="Times New Roman"/>
                <w:sz w:val="24"/>
                <w:szCs w:val="24"/>
              </w:rPr>
              <w:t>одпрограммы</w:t>
            </w:r>
            <w:r w:rsidR="00E667E5">
              <w:rPr>
                <w:rFonts w:ascii="Times New Roman" w:hAnsi="Times New Roman" w:cs="Times New Roman"/>
                <w:sz w:val="24"/>
                <w:szCs w:val="24"/>
              </w:rPr>
              <w:t xml:space="preserve"> (соисполнитель программы)</w:t>
            </w:r>
          </w:p>
          <w:p w14:paraId="2D995E26" w14:textId="77777777" w:rsidR="00B1409B" w:rsidRPr="007C4F42" w:rsidRDefault="00B1409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14:paraId="6FBD9877" w14:textId="77777777"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14:paraId="578F0411" w14:textId="77777777"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комитет по экономике и развитию Курской области</w:t>
            </w:r>
          </w:p>
          <w:p w14:paraId="249BDD50" w14:textId="77777777" w:rsidR="008916FB" w:rsidRPr="007C4F42" w:rsidRDefault="008916FB">
            <w:pPr>
              <w:widowControl w:val="0"/>
              <w:autoSpaceDE w:val="0"/>
              <w:autoSpaceDN w:val="0"/>
              <w:adjustRightInd w:val="0"/>
              <w:spacing w:after="0" w:line="240" w:lineRule="auto"/>
              <w:rPr>
                <w:rFonts w:ascii="Times New Roman" w:hAnsi="Times New Roman" w:cs="Times New Roman"/>
                <w:sz w:val="24"/>
                <w:szCs w:val="24"/>
              </w:rPr>
            </w:pPr>
          </w:p>
        </w:tc>
      </w:tr>
      <w:tr w:rsidR="0021081C" w:rsidRPr="007C4F42" w14:paraId="1E552558" w14:textId="77777777" w:rsidTr="008916FB">
        <w:trPr>
          <w:tblCellSpacing w:w="5" w:type="nil"/>
        </w:trPr>
        <w:tc>
          <w:tcPr>
            <w:tcW w:w="3175" w:type="dxa"/>
          </w:tcPr>
          <w:p w14:paraId="553DE134" w14:textId="77777777"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Участники подпрограммы</w:t>
            </w:r>
          </w:p>
        </w:tc>
        <w:tc>
          <w:tcPr>
            <w:tcW w:w="340" w:type="dxa"/>
          </w:tcPr>
          <w:p w14:paraId="41F5669A" w14:textId="77777777"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14:paraId="7E6DEC32" w14:textId="77777777"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Администрация Курской области;</w:t>
            </w:r>
          </w:p>
          <w:p w14:paraId="5A0B3A97" w14:textId="77777777"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по управлению имуществом Курской области;</w:t>
            </w:r>
          </w:p>
          <w:p w14:paraId="7BD39994" w14:textId="77777777" w:rsidR="0021081C" w:rsidRPr="007C4F42" w:rsidRDefault="0077776F"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утратил силу (постановление Администрации Курской области от 05.09.2019 №852-па);</w:t>
            </w:r>
          </w:p>
          <w:p w14:paraId="7FB7C417" w14:textId="77777777"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агропромышленного комплекса Курской области;</w:t>
            </w:r>
          </w:p>
          <w:p w14:paraId="47EA93FA" w14:textId="77777777"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пищевой и перерабатывающей промышленности и продовольствия Курской области;</w:t>
            </w:r>
          </w:p>
          <w:p w14:paraId="0D3BADC6" w14:textId="77777777"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 xml:space="preserve">комитет </w:t>
            </w:r>
            <w:r w:rsidR="007C4F42">
              <w:rPr>
                <w:rFonts w:ascii="Times New Roman" w:hAnsi="Times New Roman" w:cs="Times New Roman"/>
                <w:sz w:val="24"/>
                <w:szCs w:val="24"/>
              </w:rPr>
              <w:t>промышленности</w:t>
            </w:r>
            <w:r w:rsidRPr="007C4F42">
              <w:rPr>
                <w:rFonts w:ascii="Times New Roman" w:hAnsi="Times New Roman" w:cs="Times New Roman"/>
                <w:sz w:val="24"/>
                <w:szCs w:val="24"/>
              </w:rPr>
              <w:t>,</w:t>
            </w:r>
            <w:r w:rsidR="007C4F42">
              <w:rPr>
                <w:rFonts w:ascii="Times New Roman" w:hAnsi="Times New Roman" w:cs="Times New Roman"/>
                <w:sz w:val="24"/>
                <w:szCs w:val="24"/>
              </w:rPr>
              <w:t xml:space="preserve"> торговли и п</w:t>
            </w:r>
            <w:r w:rsidRPr="007C4F42">
              <w:rPr>
                <w:rFonts w:ascii="Times New Roman" w:hAnsi="Times New Roman" w:cs="Times New Roman"/>
                <w:sz w:val="24"/>
                <w:szCs w:val="24"/>
              </w:rPr>
              <w:t>редпринимательства Курской области;</w:t>
            </w:r>
          </w:p>
          <w:p w14:paraId="45863123" w14:textId="77777777" w:rsidR="00D429B8"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 xml:space="preserve">комитет информации и печати Курской области; </w:t>
            </w:r>
          </w:p>
          <w:p w14:paraId="4817EBFF" w14:textId="77777777"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по культуре Курской области;</w:t>
            </w:r>
          </w:p>
          <w:p w14:paraId="58C57F22" w14:textId="77777777"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молодеж</w:t>
            </w:r>
            <w:r w:rsidR="00E9769E">
              <w:rPr>
                <w:rFonts w:ascii="Times New Roman" w:hAnsi="Times New Roman" w:cs="Times New Roman"/>
                <w:sz w:val="24"/>
                <w:szCs w:val="24"/>
              </w:rPr>
              <w:t xml:space="preserve">ной политики </w:t>
            </w:r>
            <w:r w:rsidRPr="007C4F42">
              <w:rPr>
                <w:rFonts w:ascii="Times New Roman" w:hAnsi="Times New Roman" w:cs="Times New Roman"/>
                <w:sz w:val="24"/>
                <w:szCs w:val="24"/>
              </w:rPr>
              <w:t>Курской области;</w:t>
            </w:r>
          </w:p>
          <w:p w14:paraId="2BAB31F7" w14:textId="77777777" w:rsidR="00D429B8"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 xml:space="preserve">комитет </w:t>
            </w:r>
            <w:r w:rsidR="0077776F" w:rsidRPr="007C4F42">
              <w:rPr>
                <w:rFonts w:ascii="Times New Roman" w:hAnsi="Times New Roman" w:cs="Times New Roman"/>
                <w:sz w:val="24"/>
                <w:szCs w:val="24"/>
              </w:rPr>
              <w:t>цифрового развития и связи</w:t>
            </w:r>
            <w:r w:rsidRPr="007C4F42">
              <w:rPr>
                <w:rFonts w:ascii="Times New Roman" w:hAnsi="Times New Roman" w:cs="Times New Roman"/>
                <w:sz w:val="24"/>
                <w:szCs w:val="24"/>
              </w:rPr>
              <w:t xml:space="preserve"> Курской области</w:t>
            </w:r>
            <w:r w:rsidR="00D429B8" w:rsidRPr="007C4F42">
              <w:rPr>
                <w:rFonts w:ascii="Times New Roman" w:hAnsi="Times New Roman" w:cs="Times New Roman"/>
                <w:sz w:val="24"/>
                <w:szCs w:val="24"/>
              </w:rPr>
              <w:t>;</w:t>
            </w:r>
          </w:p>
          <w:p w14:paraId="61A898CF" w14:textId="77777777"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по физической культуре и спорту Курской области;</w:t>
            </w:r>
          </w:p>
          <w:p w14:paraId="1BFB335D" w14:textId="77777777"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жилищно-коммунального хозяйства и ТЭК Курской области</w:t>
            </w:r>
            <w:r w:rsidR="008F5E50" w:rsidRPr="007C4F42">
              <w:rPr>
                <w:rFonts w:ascii="Times New Roman" w:hAnsi="Times New Roman" w:cs="Times New Roman"/>
                <w:sz w:val="24"/>
                <w:szCs w:val="24"/>
              </w:rPr>
              <w:t>;</w:t>
            </w:r>
          </w:p>
          <w:p w14:paraId="0EEE3B6C" w14:textId="77777777" w:rsidR="008916FB" w:rsidRDefault="008F5E50" w:rsidP="00ED3E47">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Представительство Курской области при Правительстве Российской Федерации</w:t>
            </w:r>
          </w:p>
          <w:p w14:paraId="646A6065" w14:textId="77777777" w:rsidR="00E667E5" w:rsidRPr="007C4F42" w:rsidRDefault="00E667E5" w:rsidP="00ED3E4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строительства Курской области</w:t>
            </w:r>
          </w:p>
          <w:p w14:paraId="6000EB71" w14:textId="77777777" w:rsidR="00B1409B" w:rsidRPr="007C4F42" w:rsidRDefault="00B1409B" w:rsidP="00ED3E47">
            <w:pPr>
              <w:widowControl w:val="0"/>
              <w:autoSpaceDE w:val="0"/>
              <w:autoSpaceDN w:val="0"/>
              <w:adjustRightInd w:val="0"/>
              <w:spacing w:after="0" w:line="240" w:lineRule="auto"/>
              <w:jc w:val="both"/>
              <w:rPr>
                <w:rFonts w:ascii="Times New Roman" w:hAnsi="Times New Roman" w:cs="Times New Roman"/>
                <w:sz w:val="24"/>
                <w:szCs w:val="24"/>
              </w:rPr>
            </w:pPr>
          </w:p>
        </w:tc>
      </w:tr>
      <w:tr w:rsidR="0021081C" w:rsidRPr="007C4F42" w14:paraId="5EE07043" w14:textId="77777777" w:rsidTr="008916FB">
        <w:trPr>
          <w:tblCellSpacing w:w="5" w:type="nil"/>
        </w:trPr>
        <w:tc>
          <w:tcPr>
            <w:tcW w:w="3175" w:type="dxa"/>
          </w:tcPr>
          <w:p w14:paraId="43866BE6" w14:textId="77777777"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Программно-целевые инструменты подпрограммы</w:t>
            </w:r>
          </w:p>
          <w:p w14:paraId="16E6229C" w14:textId="77777777" w:rsidR="008916FB" w:rsidRPr="007C4F42" w:rsidRDefault="008916F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14:paraId="15CA7C29" w14:textId="77777777"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14:paraId="140A014C" w14:textId="77777777" w:rsidR="0021081C" w:rsidRPr="007C4F42" w:rsidRDefault="007C4F42">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О</w:t>
            </w:r>
            <w:r w:rsidR="0021081C" w:rsidRPr="007C4F42">
              <w:rPr>
                <w:rFonts w:ascii="Times New Roman" w:hAnsi="Times New Roman" w:cs="Times New Roman"/>
                <w:sz w:val="24"/>
                <w:szCs w:val="24"/>
              </w:rPr>
              <w:t>тсутствуют</w:t>
            </w:r>
          </w:p>
        </w:tc>
      </w:tr>
      <w:tr w:rsidR="00E667E5" w:rsidRPr="00E667E5" w14:paraId="030D0A23" w14:textId="77777777" w:rsidTr="00E667E5">
        <w:trPr>
          <w:tblCellSpacing w:w="5" w:type="nil"/>
        </w:trPr>
        <w:tc>
          <w:tcPr>
            <w:tcW w:w="3175" w:type="dxa"/>
          </w:tcPr>
          <w:p w14:paraId="633FA842" w14:textId="77777777"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r w:rsidRPr="00E667E5">
              <w:rPr>
                <w:rFonts w:ascii="Times New Roman" w:hAnsi="Times New Roman" w:cs="Times New Roman"/>
                <w:sz w:val="24"/>
                <w:szCs w:val="24"/>
              </w:rPr>
              <w:t>Региональные проекты подпрограммы</w:t>
            </w:r>
          </w:p>
          <w:p w14:paraId="1C26D7BA" w14:textId="77777777"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14:paraId="192EB5B1" w14:textId="77777777" w:rsidR="00E667E5" w:rsidRPr="00E667E5" w:rsidRDefault="00E667E5" w:rsidP="00E667E5">
            <w:pPr>
              <w:widowControl w:val="0"/>
              <w:autoSpaceDE w:val="0"/>
              <w:autoSpaceDN w:val="0"/>
              <w:adjustRightInd w:val="0"/>
              <w:spacing w:after="0" w:line="240" w:lineRule="auto"/>
              <w:jc w:val="center"/>
              <w:rPr>
                <w:rFonts w:ascii="Times New Roman" w:hAnsi="Times New Roman" w:cs="Times New Roman"/>
                <w:sz w:val="24"/>
                <w:szCs w:val="24"/>
              </w:rPr>
            </w:pPr>
            <w:r w:rsidRPr="00E667E5">
              <w:rPr>
                <w:rFonts w:ascii="Times New Roman" w:hAnsi="Times New Roman" w:cs="Times New Roman"/>
                <w:sz w:val="24"/>
                <w:szCs w:val="24"/>
              </w:rPr>
              <w:t>-</w:t>
            </w:r>
          </w:p>
        </w:tc>
        <w:tc>
          <w:tcPr>
            <w:tcW w:w="5630" w:type="dxa"/>
          </w:tcPr>
          <w:p w14:paraId="2FFD06D7" w14:textId="77777777" w:rsidR="00E667E5" w:rsidRPr="00E667E5" w:rsidRDefault="00E667E5" w:rsidP="00E667E5">
            <w:pPr>
              <w:pStyle w:val="ConsPlusNormal"/>
              <w:keepNext/>
              <w:suppressAutoHyphens/>
              <w:contextualSpacing/>
              <w:jc w:val="both"/>
              <w:rPr>
                <w:rFonts w:ascii="Times New Roman" w:hAnsi="Times New Roman" w:cs="Times New Roman"/>
                <w:sz w:val="24"/>
                <w:szCs w:val="24"/>
              </w:rPr>
            </w:pPr>
            <w:r w:rsidRPr="00E667E5">
              <w:rPr>
                <w:rFonts w:ascii="Times New Roman" w:hAnsi="Times New Roman" w:cs="Times New Roman"/>
                <w:sz w:val="24"/>
                <w:szCs w:val="24"/>
              </w:rPr>
              <w:t>«Системные меры по повышению производительности труда»,</w:t>
            </w:r>
          </w:p>
          <w:p w14:paraId="18FC4125" w14:textId="77777777"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r w:rsidRPr="00E667E5">
              <w:rPr>
                <w:rFonts w:ascii="Times New Roman" w:hAnsi="Times New Roman" w:cs="Times New Roman"/>
                <w:sz w:val="24"/>
                <w:szCs w:val="24"/>
              </w:rPr>
              <w:t>«Адресная поддержка повышения производительности труда на предприятиях»</w:t>
            </w:r>
          </w:p>
          <w:p w14:paraId="205BF685" w14:textId="77777777"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p>
        </w:tc>
      </w:tr>
      <w:tr w:rsidR="0021081C" w:rsidRPr="007C4F42" w14:paraId="68C8E575" w14:textId="77777777" w:rsidTr="008916FB">
        <w:trPr>
          <w:tblCellSpacing w:w="5" w:type="nil"/>
        </w:trPr>
        <w:tc>
          <w:tcPr>
            <w:tcW w:w="3175" w:type="dxa"/>
          </w:tcPr>
          <w:p w14:paraId="264A8E93" w14:textId="77777777" w:rsidR="0021081C" w:rsidRPr="007C4F42" w:rsidRDefault="0021081C" w:rsidP="00416B77">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Цел</w:t>
            </w:r>
            <w:r w:rsidR="00416B77" w:rsidRPr="007C4F42">
              <w:rPr>
                <w:rFonts w:ascii="Times New Roman" w:hAnsi="Times New Roman" w:cs="Times New Roman"/>
                <w:sz w:val="24"/>
                <w:szCs w:val="24"/>
              </w:rPr>
              <w:t>и</w:t>
            </w:r>
            <w:r w:rsidRPr="007C4F42">
              <w:rPr>
                <w:rFonts w:ascii="Times New Roman" w:hAnsi="Times New Roman" w:cs="Times New Roman"/>
                <w:sz w:val="24"/>
                <w:szCs w:val="24"/>
              </w:rPr>
              <w:t xml:space="preserve"> подпрограммы</w:t>
            </w:r>
          </w:p>
        </w:tc>
        <w:tc>
          <w:tcPr>
            <w:tcW w:w="340" w:type="dxa"/>
          </w:tcPr>
          <w:p w14:paraId="154C572D" w14:textId="77777777"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14:paraId="2CB9258D" w14:textId="77777777" w:rsidR="008916FB" w:rsidRPr="007C4F42" w:rsidRDefault="0021081C" w:rsidP="00ED3E47">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создание благоприятных условий для привлечения инвестиций в экономику Курской области и формирование благоприятного инвестиционного климата</w:t>
            </w:r>
            <w:r w:rsidR="00B358D8">
              <w:rPr>
                <w:rFonts w:ascii="Times New Roman" w:hAnsi="Times New Roman" w:cs="Times New Roman"/>
                <w:sz w:val="24"/>
                <w:szCs w:val="24"/>
              </w:rPr>
              <w:t>, в том числе путем формирования особой экономической зоны</w:t>
            </w:r>
          </w:p>
          <w:p w14:paraId="55E261A5" w14:textId="77777777" w:rsidR="00B1409B" w:rsidRPr="007C4F42" w:rsidRDefault="00B1409B" w:rsidP="00ED3E47">
            <w:pPr>
              <w:widowControl w:val="0"/>
              <w:autoSpaceDE w:val="0"/>
              <w:autoSpaceDN w:val="0"/>
              <w:adjustRightInd w:val="0"/>
              <w:spacing w:after="0" w:line="240" w:lineRule="auto"/>
              <w:jc w:val="both"/>
              <w:rPr>
                <w:rFonts w:ascii="Times New Roman" w:hAnsi="Times New Roman" w:cs="Times New Roman"/>
                <w:sz w:val="24"/>
                <w:szCs w:val="24"/>
              </w:rPr>
            </w:pPr>
          </w:p>
        </w:tc>
      </w:tr>
      <w:tr w:rsidR="0021081C" w:rsidRPr="007C4F42" w14:paraId="4DAA9C29" w14:textId="77777777" w:rsidTr="008916FB">
        <w:trPr>
          <w:tblCellSpacing w:w="5" w:type="nil"/>
        </w:trPr>
        <w:tc>
          <w:tcPr>
            <w:tcW w:w="3175" w:type="dxa"/>
          </w:tcPr>
          <w:p w14:paraId="7E17B6A1" w14:textId="77777777"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lastRenderedPageBreak/>
              <w:t>Задачи подпрограммы</w:t>
            </w:r>
          </w:p>
        </w:tc>
        <w:tc>
          <w:tcPr>
            <w:tcW w:w="340" w:type="dxa"/>
          </w:tcPr>
          <w:p w14:paraId="6EC64BBA" w14:textId="77777777"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14:paraId="4854078B" w14:textId="77777777" w:rsidR="00837DF0" w:rsidRPr="007C4F42" w:rsidRDefault="00837DF0"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обеспечение дальнейшего развития административной и информационной среды для инвестиций;</w:t>
            </w:r>
          </w:p>
          <w:p w14:paraId="5AB24BC4" w14:textId="77777777" w:rsidR="00B1409B" w:rsidRDefault="00ED3E47" w:rsidP="00837DF0">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w:t>
            </w:r>
            <w:r w:rsidR="0021081C" w:rsidRPr="007C4F42">
              <w:rPr>
                <w:rFonts w:ascii="Times New Roman" w:hAnsi="Times New Roman" w:cs="Times New Roman"/>
                <w:sz w:val="24"/>
                <w:szCs w:val="24"/>
              </w:rPr>
              <w:t>существление государственной поддержки инвесторам и субъе</w:t>
            </w:r>
            <w:r w:rsidRPr="007C4F42">
              <w:rPr>
                <w:rFonts w:ascii="Times New Roman" w:hAnsi="Times New Roman" w:cs="Times New Roman"/>
                <w:sz w:val="24"/>
                <w:szCs w:val="24"/>
              </w:rPr>
              <w:t>ктам инновационной деятельности</w:t>
            </w:r>
          </w:p>
          <w:p w14:paraId="05118A1B" w14:textId="77777777" w:rsidR="00A66700" w:rsidRPr="00A66700" w:rsidRDefault="00A66700" w:rsidP="00A66700">
            <w:pPr>
              <w:spacing w:after="0" w:line="240" w:lineRule="auto"/>
              <w:ind w:firstLine="169"/>
              <w:jc w:val="both"/>
              <w:rPr>
                <w:rFonts w:ascii="Times New Roman" w:hAnsi="Times New Roman" w:cs="Times New Roman"/>
                <w:sz w:val="24"/>
                <w:szCs w:val="24"/>
              </w:rPr>
            </w:pPr>
            <w:r w:rsidRPr="00A66700">
              <w:rPr>
                <w:rFonts w:ascii="Times New Roman" w:hAnsi="Times New Roman" w:cs="Times New Roman"/>
                <w:sz w:val="24"/>
                <w:szCs w:val="24"/>
              </w:rPr>
              <w:t>реализация мероприятий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входящих в состав федеральных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 и поддержка занятости</w:t>
            </w:r>
          </w:p>
          <w:p w14:paraId="0CEBD081" w14:textId="77777777" w:rsidR="00A66700" w:rsidRPr="007C4F42" w:rsidRDefault="00A66700" w:rsidP="00837DF0">
            <w:pPr>
              <w:widowControl w:val="0"/>
              <w:autoSpaceDE w:val="0"/>
              <w:autoSpaceDN w:val="0"/>
              <w:adjustRightInd w:val="0"/>
              <w:spacing w:after="0" w:line="240" w:lineRule="auto"/>
              <w:ind w:firstLine="169"/>
              <w:jc w:val="both"/>
              <w:rPr>
                <w:rFonts w:ascii="Times New Roman" w:hAnsi="Times New Roman" w:cs="Times New Roman"/>
                <w:sz w:val="24"/>
                <w:szCs w:val="24"/>
              </w:rPr>
            </w:pPr>
          </w:p>
        </w:tc>
      </w:tr>
      <w:tr w:rsidR="0021081C" w:rsidRPr="007C4F42" w14:paraId="5BE403D3" w14:textId="77777777" w:rsidTr="008916FB">
        <w:trPr>
          <w:tblCellSpacing w:w="5" w:type="nil"/>
        </w:trPr>
        <w:tc>
          <w:tcPr>
            <w:tcW w:w="3175" w:type="dxa"/>
          </w:tcPr>
          <w:p w14:paraId="2535ACAF" w14:textId="77777777"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Целевые индикаторы и показатели подпрограммы</w:t>
            </w:r>
          </w:p>
        </w:tc>
        <w:tc>
          <w:tcPr>
            <w:tcW w:w="340" w:type="dxa"/>
          </w:tcPr>
          <w:p w14:paraId="172E7C9C" w14:textId="77777777"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14:paraId="6D6F27A3" w14:textId="77777777"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млрд. рублей, ежегодно;</w:t>
            </w:r>
          </w:p>
          <w:p w14:paraId="5C50968B" w14:textId="77777777"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на душу населения, тыс. рублей, ежегодно;</w:t>
            </w:r>
          </w:p>
          <w:p w14:paraId="1AAC35EE" w14:textId="77777777"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площадь промышленных парков, занимаемая резидентами, % от общей площади парков, нарастающим итогом;</w:t>
            </w:r>
          </w:p>
          <w:p w14:paraId="5B9DA05C" w14:textId="77777777"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вложенный резидентами промышленных парков, млрд. рублей, ежегодно;</w:t>
            </w:r>
          </w:p>
          <w:p w14:paraId="491DCC67" w14:textId="77777777"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численность постоянных работающих на вновь созданных предприятиях (в организациях) на территории промышленных парков, чел., ежегодно;</w:t>
            </w:r>
          </w:p>
          <w:p w14:paraId="1737633D" w14:textId="77777777" w:rsidR="0021081C"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 нарастающим итогом</w:t>
            </w:r>
            <w:r w:rsidR="00A66700">
              <w:rPr>
                <w:rFonts w:ascii="Times New Roman" w:hAnsi="Times New Roman" w:cs="Times New Roman"/>
                <w:sz w:val="24"/>
                <w:szCs w:val="24"/>
              </w:rPr>
              <w:t>;</w:t>
            </w:r>
          </w:p>
          <w:p w14:paraId="42E6CA24" w14:textId="77777777" w:rsidR="000F3FDC" w:rsidRDefault="000F3FD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Pr>
                <w:rFonts w:ascii="Times New Roman" w:hAnsi="Times New Roman" w:cs="Times New Roman"/>
                <w:sz w:val="24"/>
                <w:szCs w:val="24"/>
              </w:rPr>
              <w:t>наличие единой системы сопровождения и поддержки региональных инвестпроектов (нарастающим итогом);</w:t>
            </w:r>
          </w:p>
          <w:p w14:paraId="2AE59CA6" w14:textId="77777777"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руководителей, обученных по программе управленческих навыков для повышения производительности труда, нарастающим итогом;</w:t>
            </w:r>
          </w:p>
          <w:p w14:paraId="45B7506A" w14:textId="77777777"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доля предприятий, достигших ежегодный 5 %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14:paraId="2494D09F" w14:textId="77777777"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вовлеченных в национальный проект через получение адресной поддержки, нарастающим итогом;</w:t>
            </w:r>
          </w:p>
          <w:p w14:paraId="7C141CA1" w14:textId="77777777"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 xml:space="preserve">количество сотрудников предприятий и </w:t>
            </w:r>
            <w:r w:rsidRPr="00ED1B85">
              <w:rPr>
                <w:rFonts w:ascii="Times New Roman" w:hAnsi="Times New Roman" w:cs="Times New Roman"/>
                <w:sz w:val="24"/>
                <w:szCs w:val="24"/>
              </w:rPr>
              <w:lastRenderedPageBreak/>
              <w:t>представителей региональных команд, прошедших обучение инструментам  повышения производительности труда, нарастающим итогом;</w:t>
            </w:r>
          </w:p>
          <w:p w14:paraId="2A9B4786" w14:textId="77777777"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внедряющих мероприятия национального проекта самостоятельно, нарастающим итогом;</w:t>
            </w:r>
          </w:p>
          <w:p w14:paraId="22139D0C" w14:textId="77777777"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внедряющих мероприятия национального проекта под федеральным управлением (с ФЦК), нарастающим итогом;</w:t>
            </w:r>
          </w:p>
          <w:p w14:paraId="657CA621" w14:textId="77777777"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14:paraId="79FE38D8" w14:textId="77777777"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удовлетворенность предприятий работой региональных центров компетенций (доля предприятий, удовлетворенных работой названных центров);</w:t>
            </w:r>
          </w:p>
          <w:p w14:paraId="28D7B626" w14:textId="77777777"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p w14:paraId="7673970F" w14:textId="77777777"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после абзаца пятнадцатого дополнить абзацами следующего содержания:</w:t>
            </w:r>
          </w:p>
          <w:p w14:paraId="4B7710B0" w14:textId="77777777"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14:paraId="31C7FBB1" w14:textId="77777777"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14:paraId="600F8147" w14:textId="77777777"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представителей региональных команд, прошедших обучение инструментам повышения производительности труда, нарастающим итогом;</w:t>
            </w:r>
          </w:p>
          <w:p w14:paraId="4DDF61AD" w14:textId="735171B5" w:rsid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 – участников, внедряющих мероприятия  национального проекта под региональным управлением (с РЦК), нарастающим итогом»;</w:t>
            </w:r>
          </w:p>
          <w:p w14:paraId="1684234B" w14:textId="418254BE" w:rsidR="00A04EFA" w:rsidRPr="00ED1B85" w:rsidRDefault="00A04EFA"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Pr>
                <w:rFonts w:ascii="Times New Roman" w:hAnsi="Times New Roman" w:cs="Times New Roman"/>
                <w:sz w:val="24"/>
                <w:szCs w:val="24"/>
              </w:rPr>
              <w:t>количество подготовленных инструкторов по бережливому производству на предприятиях – участниках национального проекта под региональным управлением (с РЦК), нарастающим итогом;</w:t>
            </w:r>
          </w:p>
          <w:p w14:paraId="0DB2FE5F" w14:textId="77777777" w:rsidR="00A66700" w:rsidRPr="007C4F42" w:rsidRDefault="00A66700"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p>
          <w:p w14:paraId="26D531CB" w14:textId="77777777" w:rsidR="00B1409B" w:rsidRPr="007C4F42" w:rsidRDefault="00B1409B" w:rsidP="00F810EC">
            <w:pPr>
              <w:widowControl w:val="0"/>
              <w:autoSpaceDE w:val="0"/>
              <w:autoSpaceDN w:val="0"/>
              <w:adjustRightInd w:val="0"/>
              <w:spacing w:after="0" w:line="240" w:lineRule="auto"/>
              <w:ind w:firstLine="169"/>
              <w:jc w:val="both"/>
              <w:rPr>
                <w:rFonts w:ascii="Times New Roman" w:hAnsi="Times New Roman" w:cs="Times New Roman"/>
                <w:sz w:val="24"/>
                <w:szCs w:val="24"/>
              </w:rPr>
            </w:pPr>
          </w:p>
        </w:tc>
      </w:tr>
      <w:tr w:rsidR="0021081C" w:rsidRPr="007C4F42" w14:paraId="771B786C" w14:textId="77777777" w:rsidTr="008916FB">
        <w:trPr>
          <w:tblCellSpacing w:w="5" w:type="nil"/>
        </w:trPr>
        <w:tc>
          <w:tcPr>
            <w:tcW w:w="3175" w:type="dxa"/>
          </w:tcPr>
          <w:p w14:paraId="55738FA4" w14:textId="77777777" w:rsidR="008916FB"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lastRenderedPageBreak/>
              <w:t>Этапы и сроки реализации подпрограммы</w:t>
            </w:r>
          </w:p>
          <w:p w14:paraId="4D5A6630" w14:textId="77777777" w:rsidR="00B1409B" w:rsidRPr="007C4F42" w:rsidRDefault="00B1409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14:paraId="200F1096" w14:textId="77777777"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14:paraId="7CFC1977" w14:textId="6EF3EB1C" w:rsidR="0021081C" w:rsidRPr="007C4F42" w:rsidRDefault="007A50DB"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2014 - 202</w:t>
            </w:r>
            <w:r w:rsidR="00A04EFA">
              <w:rPr>
                <w:rFonts w:ascii="Times New Roman" w:hAnsi="Times New Roman" w:cs="Times New Roman"/>
                <w:sz w:val="24"/>
                <w:szCs w:val="24"/>
              </w:rPr>
              <w:t>5</w:t>
            </w:r>
            <w:r w:rsidR="0021081C" w:rsidRPr="007C4F42">
              <w:rPr>
                <w:rFonts w:ascii="Times New Roman" w:hAnsi="Times New Roman" w:cs="Times New Roman"/>
                <w:sz w:val="24"/>
                <w:szCs w:val="24"/>
              </w:rPr>
              <w:t xml:space="preserve"> годы, в</w:t>
            </w:r>
            <w:r w:rsidR="0077776F" w:rsidRPr="007C4F42">
              <w:rPr>
                <w:rFonts w:ascii="Times New Roman" w:hAnsi="Times New Roman" w:cs="Times New Roman"/>
                <w:sz w:val="24"/>
                <w:szCs w:val="24"/>
              </w:rPr>
              <w:t xml:space="preserve"> два</w:t>
            </w:r>
            <w:r w:rsidR="0021081C" w:rsidRPr="007C4F42">
              <w:rPr>
                <w:rFonts w:ascii="Times New Roman" w:hAnsi="Times New Roman" w:cs="Times New Roman"/>
                <w:sz w:val="24"/>
                <w:szCs w:val="24"/>
              </w:rPr>
              <w:t xml:space="preserve"> этап</w:t>
            </w:r>
            <w:r w:rsidR="0077776F" w:rsidRPr="007C4F42">
              <w:rPr>
                <w:rFonts w:ascii="Times New Roman" w:hAnsi="Times New Roman" w:cs="Times New Roman"/>
                <w:sz w:val="24"/>
                <w:szCs w:val="24"/>
              </w:rPr>
              <w:t>а:</w:t>
            </w:r>
          </w:p>
          <w:p w14:paraId="6E69D54D" w14:textId="1E8F82FE"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lang w:val="en-US"/>
              </w:rPr>
              <w:t>I</w:t>
            </w:r>
            <w:r w:rsidRPr="007C4F42">
              <w:rPr>
                <w:rFonts w:ascii="Times New Roman" w:hAnsi="Times New Roman" w:cs="Times New Roman"/>
                <w:sz w:val="24"/>
                <w:szCs w:val="24"/>
              </w:rPr>
              <w:t xml:space="preserve"> этап – 2014-2018 годы</w:t>
            </w:r>
            <w:r w:rsidR="00A04EFA">
              <w:rPr>
                <w:rFonts w:ascii="Times New Roman" w:hAnsi="Times New Roman" w:cs="Times New Roman"/>
                <w:sz w:val="24"/>
                <w:szCs w:val="24"/>
              </w:rPr>
              <w:t>;</w:t>
            </w:r>
          </w:p>
          <w:p w14:paraId="6D28DA8A" w14:textId="5FB8556F"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lang w:val="en-US"/>
              </w:rPr>
              <w:t>II</w:t>
            </w:r>
            <w:r w:rsidRPr="007C4F42">
              <w:rPr>
                <w:rFonts w:ascii="Times New Roman" w:hAnsi="Times New Roman" w:cs="Times New Roman"/>
                <w:sz w:val="24"/>
                <w:szCs w:val="24"/>
              </w:rPr>
              <w:t xml:space="preserve"> этап – 2019-202</w:t>
            </w:r>
            <w:r w:rsidR="00A04EFA">
              <w:rPr>
                <w:rFonts w:ascii="Times New Roman" w:hAnsi="Times New Roman" w:cs="Times New Roman"/>
                <w:sz w:val="24"/>
                <w:szCs w:val="24"/>
              </w:rPr>
              <w:t>5</w:t>
            </w:r>
            <w:r w:rsidRPr="007C4F42">
              <w:rPr>
                <w:rFonts w:ascii="Times New Roman" w:hAnsi="Times New Roman" w:cs="Times New Roman"/>
                <w:sz w:val="24"/>
                <w:szCs w:val="24"/>
              </w:rPr>
              <w:t xml:space="preserve"> годы</w:t>
            </w:r>
            <w:r w:rsidR="00A04EFA">
              <w:rPr>
                <w:rFonts w:ascii="Times New Roman" w:hAnsi="Times New Roman" w:cs="Times New Roman"/>
                <w:sz w:val="24"/>
                <w:szCs w:val="24"/>
              </w:rPr>
              <w:t>;</w:t>
            </w:r>
          </w:p>
          <w:p w14:paraId="5354CBCE" w14:textId="77777777"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p>
        </w:tc>
      </w:tr>
      <w:tr w:rsidR="00A66700" w:rsidRPr="007C4F42" w14:paraId="24D4EF97" w14:textId="77777777" w:rsidTr="008916FB">
        <w:trPr>
          <w:tblCellSpacing w:w="5" w:type="nil"/>
        </w:trPr>
        <w:tc>
          <w:tcPr>
            <w:tcW w:w="3175" w:type="dxa"/>
          </w:tcPr>
          <w:p w14:paraId="73E7B839" w14:textId="77777777"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Объемы бюджетных </w:t>
            </w:r>
            <w:r w:rsidRPr="00A66700">
              <w:rPr>
                <w:rFonts w:ascii="Times New Roman" w:hAnsi="Times New Roman" w:cs="Times New Roman"/>
                <w:sz w:val="24"/>
                <w:szCs w:val="24"/>
              </w:rPr>
              <w:lastRenderedPageBreak/>
              <w:t>ассигнований подпрограммы</w:t>
            </w:r>
          </w:p>
        </w:tc>
        <w:tc>
          <w:tcPr>
            <w:tcW w:w="340" w:type="dxa"/>
          </w:tcPr>
          <w:p w14:paraId="1B935F9D" w14:textId="77777777"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lastRenderedPageBreak/>
              <w:t>-</w:t>
            </w:r>
          </w:p>
        </w:tc>
        <w:tc>
          <w:tcPr>
            <w:tcW w:w="5630" w:type="dxa"/>
          </w:tcPr>
          <w:p w14:paraId="7FC7DC14" w14:textId="1FFC32BB"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общий объем бюджетных ассигнований за счет </w:t>
            </w:r>
            <w:r w:rsidRPr="00A66700">
              <w:rPr>
                <w:rFonts w:ascii="Times New Roman" w:hAnsi="Times New Roman" w:cs="Times New Roman"/>
                <w:sz w:val="24"/>
                <w:szCs w:val="24"/>
              </w:rPr>
              <w:lastRenderedPageBreak/>
              <w:t>средств областного бюджета на реализацию мероприятий подпрограммы в 2014 - 202</w:t>
            </w:r>
            <w:r w:rsidR="00A04EFA">
              <w:rPr>
                <w:rFonts w:ascii="Times New Roman" w:hAnsi="Times New Roman" w:cs="Times New Roman"/>
                <w:sz w:val="24"/>
                <w:szCs w:val="24"/>
              </w:rPr>
              <w:t>5</w:t>
            </w:r>
            <w:r w:rsidRPr="00A66700">
              <w:rPr>
                <w:rFonts w:ascii="Times New Roman" w:hAnsi="Times New Roman" w:cs="Times New Roman"/>
                <w:sz w:val="24"/>
                <w:szCs w:val="24"/>
              </w:rPr>
              <w:t xml:space="preserve"> годах составляет </w:t>
            </w:r>
            <w:r w:rsidR="00A04EFA">
              <w:rPr>
                <w:rFonts w:ascii="Times New Roman" w:hAnsi="Times New Roman" w:cs="Times New Roman"/>
                <w:sz w:val="24"/>
                <w:szCs w:val="24"/>
              </w:rPr>
              <w:t>1 764 545,763</w:t>
            </w:r>
            <w:r w:rsidRPr="00A66700">
              <w:rPr>
                <w:rFonts w:ascii="Times New Roman" w:hAnsi="Times New Roman" w:cs="Times New Roman"/>
                <w:sz w:val="24"/>
                <w:szCs w:val="24"/>
              </w:rPr>
              <w:t xml:space="preserve"> тыс. рублей, в том числе по годам:</w:t>
            </w:r>
          </w:p>
          <w:p w14:paraId="3152E77F" w14:textId="77777777"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2014 год – 22 001,688 тыс. рублей;</w:t>
            </w:r>
          </w:p>
          <w:p w14:paraId="5487D345" w14:textId="77777777"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2015 год – 10 261,735 тыс. рублей;</w:t>
            </w:r>
          </w:p>
          <w:p w14:paraId="79C0D9A0" w14:textId="77777777"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2016 год – 20 164,771 тыс. рублей;</w:t>
            </w:r>
          </w:p>
          <w:p w14:paraId="7669CDFA" w14:textId="77777777"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2017 год – 19 255,393 тыс. рублей;</w:t>
            </w:r>
          </w:p>
          <w:p w14:paraId="540FDD97" w14:textId="77777777"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2018 год – 27 088,259 тыс. рублей;</w:t>
            </w:r>
          </w:p>
          <w:p w14:paraId="7FB4C7BD" w14:textId="77777777"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2019 год – 30 028,217 тыс. рублей;</w:t>
            </w:r>
          </w:p>
          <w:p w14:paraId="555F8E5A" w14:textId="77777777"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2020 год – </w:t>
            </w:r>
            <w:r w:rsidR="00A77A40">
              <w:rPr>
                <w:rFonts w:ascii="Times New Roman" w:hAnsi="Times New Roman" w:cs="Times New Roman"/>
                <w:sz w:val="24"/>
                <w:szCs w:val="24"/>
              </w:rPr>
              <w:t>102 051,298</w:t>
            </w:r>
            <w:r w:rsidRPr="00A66700">
              <w:rPr>
                <w:rFonts w:ascii="Times New Roman" w:hAnsi="Times New Roman" w:cs="Times New Roman"/>
                <w:sz w:val="24"/>
                <w:szCs w:val="24"/>
              </w:rPr>
              <w:t xml:space="preserve"> тыс. рублей;</w:t>
            </w:r>
          </w:p>
          <w:p w14:paraId="4DE4F3BA" w14:textId="77777777"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2021 год – </w:t>
            </w:r>
            <w:r w:rsidR="000F3FDC">
              <w:rPr>
                <w:rFonts w:ascii="Times New Roman" w:hAnsi="Times New Roman" w:cs="Times New Roman"/>
                <w:sz w:val="24"/>
                <w:szCs w:val="24"/>
              </w:rPr>
              <w:t>44 582,947</w:t>
            </w:r>
            <w:r w:rsidRPr="00A66700">
              <w:rPr>
                <w:rFonts w:ascii="Times New Roman" w:hAnsi="Times New Roman" w:cs="Times New Roman"/>
                <w:sz w:val="24"/>
                <w:szCs w:val="24"/>
              </w:rPr>
              <w:t xml:space="preserve"> тыс. рублей;</w:t>
            </w:r>
          </w:p>
          <w:p w14:paraId="63670906" w14:textId="77777777"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8805A9" w:rsidRPr="00995CA1">
              <w:rPr>
                <w:rFonts w:ascii="Times New Roman" w:hAnsi="Times New Roman" w:cs="Times New Roman"/>
                <w:sz w:val="24"/>
                <w:szCs w:val="24"/>
              </w:rPr>
              <w:t>1 353 327,215</w:t>
            </w:r>
            <w:r w:rsidR="00D5434C">
              <w:rPr>
                <w:rFonts w:ascii="Times New Roman" w:hAnsi="Times New Roman" w:cs="Times New Roman"/>
                <w:sz w:val="24"/>
                <w:szCs w:val="24"/>
              </w:rPr>
              <w:t xml:space="preserve"> </w:t>
            </w:r>
            <w:r w:rsidRPr="00A66700">
              <w:rPr>
                <w:rFonts w:ascii="Times New Roman" w:hAnsi="Times New Roman" w:cs="Times New Roman"/>
                <w:sz w:val="24"/>
                <w:szCs w:val="24"/>
              </w:rPr>
              <w:t>тыс. рублей;</w:t>
            </w:r>
          </w:p>
          <w:p w14:paraId="02D21EF3" w14:textId="77777777"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2023 год – </w:t>
            </w:r>
            <w:r w:rsidR="008A3491">
              <w:rPr>
                <w:rFonts w:ascii="Times New Roman" w:hAnsi="Times New Roman" w:cs="Times New Roman"/>
                <w:sz w:val="24"/>
                <w:szCs w:val="24"/>
              </w:rPr>
              <w:t>4</w:t>
            </w:r>
            <w:r w:rsidR="00D5434C">
              <w:rPr>
                <w:rFonts w:ascii="Times New Roman" w:hAnsi="Times New Roman" w:cs="Times New Roman"/>
                <w:sz w:val="24"/>
                <w:szCs w:val="24"/>
              </w:rPr>
              <w:t>5 268,080</w:t>
            </w:r>
            <w:r w:rsidRPr="00A66700">
              <w:rPr>
                <w:rFonts w:ascii="Times New Roman" w:hAnsi="Times New Roman" w:cs="Times New Roman"/>
                <w:sz w:val="24"/>
                <w:szCs w:val="24"/>
              </w:rPr>
              <w:t xml:space="preserve"> тыс. рублей;</w:t>
            </w:r>
          </w:p>
          <w:p w14:paraId="51F9F5BE" w14:textId="1BBD1CE5" w:rsid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2024 год – 4</w:t>
            </w:r>
            <w:r w:rsidR="00D5434C">
              <w:rPr>
                <w:rFonts w:ascii="Times New Roman" w:hAnsi="Times New Roman" w:cs="Times New Roman"/>
                <w:sz w:val="24"/>
                <w:szCs w:val="24"/>
              </w:rPr>
              <w:t>5 258,080</w:t>
            </w:r>
            <w:r w:rsidRPr="00A66700">
              <w:rPr>
                <w:rFonts w:ascii="Times New Roman" w:hAnsi="Times New Roman" w:cs="Times New Roman"/>
                <w:sz w:val="24"/>
                <w:szCs w:val="24"/>
              </w:rPr>
              <w:t xml:space="preserve"> тыс. рублей</w:t>
            </w:r>
            <w:r w:rsidR="00A04EFA">
              <w:rPr>
                <w:rFonts w:ascii="Times New Roman" w:hAnsi="Times New Roman" w:cs="Times New Roman"/>
                <w:sz w:val="24"/>
                <w:szCs w:val="24"/>
              </w:rPr>
              <w:t>;</w:t>
            </w:r>
          </w:p>
          <w:p w14:paraId="410A4353" w14:textId="30AF61F1" w:rsidR="00A04EFA" w:rsidRPr="00A66700" w:rsidRDefault="00A04EFA" w:rsidP="00A667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2025 </w:t>
            </w:r>
            <w:r w:rsidR="00CE4818">
              <w:rPr>
                <w:rFonts w:ascii="Times New Roman" w:hAnsi="Times New Roman" w:cs="Times New Roman"/>
                <w:sz w:val="24"/>
                <w:szCs w:val="24"/>
              </w:rPr>
              <w:t>год</w:t>
            </w:r>
            <w:r>
              <w:rPr>
                <w:rFonts w:ascii="Times New Roman" w:hAnsi="Times New Roman" w:cs="Times New Roman"/>
                <w:sz w:val="24"/>
                <w:szCs w:val="24"/>
              </w:rPr>
              <w:t xml:space="preserve"> </w:t>
            </w:r>
            <w:r w:rsidR="00CE4818">
              <w:rPr>
                <w:rFonts w:ascii="Times New Roman" w:hAnsi="Times New Roman" w:cs="Times New Roman"/>
                <w:sz w:val="24"/>
                <w:szCs w:val="24"/>
              </w:rPr>
              <w:t>–</w:t>
            </w:r>
            <w:r>
              <w:rPr>
                <w:rFonts w:ascii="Times New Roman" w:hAnsi="Times New Roman" w:cs="Times New Roman"/>
                <w:sz w:val="24"/>
                <w:szCs w:val="24"/>
              </w:rPr>
              <w:t xml:space="preserve"> </w:t>
            </w:r>
            <w:r w:rsidR="00CE4818">
              <w:rPr>
                <w:rFonts w:ascii="Times New Roman" w:hAnsi="Times New Roman" w:cs="Times New Roman"/>
                <w:sz w:val="24"/>
                <w:szCs w:val="24"/>
              </w:rPr>
              <w:t>45258,080 тыс. рублей,</w:t>
            </w:r>
          </w:p>
          <w:p w14:paraId="7D554CF8" w14:textId="77777777"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из них:</w:t>
            </w:r>
          </w:p>
          <w:p w14:paraId="4C76B9DC" w14:textId="0A37B3E2"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средства областного бюджета – </w:t>
            </w:r>
            <w:r w:rsidR="00A77A40">
              <w:rPr>
                <w:rFonts w:ascii="Times New Roman" w:hAnsi="Times New Roman" w:cs="Times New Roman"/>
                <w:sz w:val="24"/>
                <w:szCs w:val="24"/>
              </w:rPr>
              <w:t xml:space="preserve">                   </w:t>
            </w:r>
            <w:r w:rsidR="008805A9" w:rsidRPr="00995CA1">
              <w:rPr>
                <w:rFonts w:ascii="Times New Roman" w:hAnsi="Times New Roman" w:cs="Times New Roman"/>
                <w:sz w:val="24"/>
                <w:szCs w:val="24"/>
              </w:rPr>
              <w:t>1 6</w:t>
            </w:r>
            <w:r w:rsidR="00CE4818">
              <w:rPr>
                <w:rFonts w:ascii="Times New Roman" w:hAnsi="Times New Roman" w:cs="Times New Roman"/>
                <w:sz w:val="24"/>
                <w:szCs w:val="24"/>
              </w:rPr>
              <w:t>49</w:t>
            </w:r>
            <w:r w:rsidR="008805A9" w:rsidRPr="00995CA1">
              <w:rPr>
                <w:rFonts w:ascii="Times New Roman" w:hAnsi="Times New Roman" w:cs="Times New Roman"/>
                <w:sz w:val="24"/>
                <w:szCs w:val="24"/>
              </w:rPr>
              <w:t> </w:t>
            </w:r>
            <w:r w:rsidR="00CE4818">
              <w:rPr>
                <w:rFonts w:ascii="Times New Roman" w:hAnsi="Times New Roman" w:cs="Times New Roman"/>
                <w:sz w:val="24"/>
                <w:szCs w:val="24"/>
              </w:rPr>
              <w:t>507</w:t>
            </w:r>
            <w:r w:rsidR="008805A9" w:rsidRPr="00995CA1">
              <w:rPr>
                <w:rFonts w:ascii="Times New Roman" w:hAnsi="Times New Roman" w:cs="Times New Roman"/>
                <w:sz w:val="24"/>
                <w:szCs w:val="24"/>
              </w:rPr>
              <w:t>,1</w:t>
            </w:r>
            <w:r w:rsidR="00CE4818">
              <w:rPr>
                <w:rFonts w:ascii="Times New Roman" w:hAnsi="Times New Roman" w:cs="Times New Roman"/>
                <w:sz w:val="24"/>
                <w:szCs w:val="24"/>
              </w:rPr>
              <w:t>6</w:t>
            </w:r>
            <w:r w:rsidR="008805A9" w:rsidRPr="00995CA1">
              <w:rPr>
                <w:rFonts w:ascii="Times New Roman" w:hAnsi="Times New Roman" w:cs="Times New Roman"/>
                <w:sz w:val="24"/>
                <w:szCs w:val="24"/>
              </w:rPr>
              <w:t>3</w:t>
            </w:r>
            <w:r w:rsidR="00A77A40">
              <w:rPr>
                <w:rFonts w:ascii="Times New Roman" w:hAnsi="Times New Roman" w:cs="Times New Roman"/>
                <w:sz w:val="24"/>
                <w:szCs w:val="24"/>
              </w:rPr>
              <w:t xml:space="preserve"> </w:t>
            </w:r>
            <w:r w:rsidRPr="00A66700">
              <w:rPr>
                <w:rFonts w:ascii="Times New Roman" w:hAnsi="Times New Roman" w:cs="Times New Roman"/>
                <w:sz w:val="24"/>
                <w:szCs w:val="24"/>
              </w:rPr>
              <w:t>тыс. рублей, в том числе по годам:</w:t>
            </w:r>
          </w:p>
          <w:p w14:paraId="01C4F8D4" w14:textId="77777777"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2014 год – 22 001,688 тыс. рублей;</w:t>
            </w:r>
          </w:p>
          <w:p w14:paraId="7C8A9090" w14:textId="77777777"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2015 год – 10 261,735 тыс. рублей;</w:t>
            </w:r>
          </w:p>
          <w:p w14:paraId="6AD8E351" w14:textId="77777777"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2016 год – 20 164,771 тыс. рублей;</w:t>
            </w:r>
          </w:p>
          <w:p w14:paraId="1D9586B3" w14:textId="77777777"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2017 год – 19 255,393 тыс. рублей;</w:t>
            </w:r>
          </w:p>
          <w:p w14:paraId="0C5D46A4" w14:textId="77777777"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2018 год – 27 088,259 тыс. рублей;</w:t>
            </w:r>
          </w:p>
          <w:p w14:paraId="716BAB3C" w14:textId="77777777"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2019 год – 30 028,217 тыс. рублей;</w:t>
            </w:r>
          </w:p>
          <w:p w14:paraId="4A951CB3" w14:textId="77777777"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2020 год – </w:t>
            </w:r>
            <w:r w:rsidR="00A77A40">
              <w:rPr>
                <w:rFonts w:ascii="Times New Roman" w:hAnsi="Times New Roman" w:cs="Times New Roman"/>
                <w:sz w:val="24"/>
                <w:szCs w:val="24"/>
              </w:rPr>
              <w:t>92 154,798</w:t>
            </w:r>
            <w:r w:rsidRPr="00A66700">
              <w:rPr>
                <w:rFonts w:ascii="Times New Roman" w:hAnsi="Times New Roman" w:cs="Times New Roman"/>
                <w:sz w:val="24"/>
                <w:szCs w:val="24"/>
              </w:rPr>
              <w:t xml:space="preserve"> тыс. рублей;</w:t>
            </w:r>
          </w:p>
          <w:p w14:paraId="557ADB43" w14:textId="77777777"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2021 год – </w:t>
            </w:r>
            <w:r w:rsidR="000F3FDC">
              <w:rPr>
                <w:rFonts w:ascii="Times New Roman" w:hAnsi="Times New Roman" w:cs="Times New Roman"/>
                <w:sz w:val="24"/>
                <w:szCs w:val="24"/>
              </w:rPr>
              <w:t>30 873,247</w:t>
            </w:r>
            <w:r w:rsidRPr="00A66700">
              <w:rPr>
                <w:rFonts w:ascii="Times New Roman" w:hAnsi="Times New Roman" w:cs="Times New Roman"/>
                <w:sz w:val="24"/>
                <w:szCs w:val="24"/>
              </w:rPr>
              <w:t xml:space="preserve"> тыс. рублей;</w:t>
            </w:r>
          </w:p>
          <w:p w14:paraId="653A8A2E" w14:textId="77777777"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8805A9" w:rsidRPr="00995CA1">
              <w:rPr>
                <w:rFonts w:ascii="Times New Roman" w:hAnsi="Times New Roman" w:cs="Times New Roman"/>
                <w:sz w:val="24"/>
                <w:szCs w:val="24"/>
              </w:rPr>
              <w:t>1 333 887,115</w:t>
            </w:r>
            <w:r w:rsidRPr="00A66700">
              <w:rPr>
                <w:rFonts w:ascii="Times New Roman" w:hAnsi="Times New Roman" w:cs="Times New Roman"/>
                <w:sz w:val="24"/>
                <w:szCs w:val="24"/>
              </w:rPr>
              <w:t xml:space="preserve"> тыс. рублей;</w:t>
            </w:r>
          </w:p>
          <w:p w14:paraId="11D3F5AF" w14:textId="77777777"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2023 год – </w:t>
            </w:r>
            <w:r w:rsidR="008A3491">
              <w:rPr>
                <w:rFonts w:ascii="Times New Roman" w:hAnsi="Times New Roman" w:cs="Times New Roman"/>
                <w:sz w:val="24"/>
                <w:szCs w:val="24"/>
              </w:rPr>
              <w:t>2</w:t>
            </w:r>
            <w:r w:rsidR="00D5434C">
              <w:rPr>
                <w:rFonts w:ascii="Times New Roman" w:hAnsi="Times New Roman" w:cs="Times New Roman"/>
                <w:sz w:val="24"/>
                <w:szCs w:val="24"/>
              </w:rPr>
              <w:t>1 263,980</w:t>
            </w:r>
            <w:r w:rsidRPr="00A66700">
              <w:rPr>
                <w:rFonts w:ascii="Times New Roman" w:hAnsi="Times New Roman" w:cs="Times New Roman"/>
                <w:sz w:val="24"/>
                <w:szCs w:val="24"/>
              </w:rPr>
              <w:t xml:space="preserve"> тыс. рублей;</w:t>
            </w:r>
          </w:p>
          <w:p w14:paraId="0B84EE6E" w14:textId="15FC9DFA" w:rsid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2024 год – </w:t>
            </w:r>
            <w:r w:rsidR="00D5434C">
              <w:rPr>
                <w:rFonts w:ascii="Times New Roman" w:hAnsi="Times New Roman" w:cs="Times New Roman"/>
                <w:sz w:val="24"/>
                <w:szCs w:val="24"/>
              </w:rPr>
              <w:t>21 263,980</w:t>
            </w:r>
            <w:r w:rsidRPr="00A66700">
              <w:rPr>
                <w:rFonts w:ascii="Times New Roman" w:hAnsi="Times New Roman" w:cs="Times New Roman"/>
                <w:sz w:val="24"/>
                <w:szCs w:val="24"/>
              </w:rPr>
              <w:t xml:space="preserve"> тыс. рублей;</w:t>
            </w:r>
          </w:p>
          <w:p w14:paraId="17452E21" w14:textId="53A7B458" w:rsidR="00CE4818" w:rsidRPr="00A66700" w:rsidRDefault="00CE4818" w:rsidP="00A66700">
            <w:pPr>
              <w:pStyle w:val="ConsPlusNormal"/>
              <w:jc w:val="both"/>
              <w:rPr>
                <w:rFonts w:ascii="Times New Roman" w:hAnsi="Times New Roman" w:cs="Times New Roman"/>
                <w:sz w:val="24"/>
                <w:szCs w:val="24"/>
              </w:rPr>
            </w:pPr>
            <w:r>
              <w:rPr>
                <w:rFonts w:ascii="Times New Roman" w:hAnsi="Times New Roman" w:cs="Times New Roman"/>
                <w:sz w:val="24"/>
                <w:szCs w:val="24"/>
              </w:rPr>
              <w:t>2025 год – 21 263,980 тыс. рублей;</w:t>
            </w:r>
          </w:p>
          <w:p w14:paraId="05BB99C0" w14:textId="50F57C01"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средства федерального бюджета, предоставленные бюджету Курской области (субсидии), - </w:t>
            </w:r>
            <w:r w:rsidR="00CE4818">
              <w:rPr>
                <w:rFonts w:ascii="Times New Roman" w:hAnsi="Times New Roman" w:cs="Times New Roman"/>
                <w:sz w:val="24"/>
                <w:szCs w:val="24"/>
              </w:rPr>
              <w:t>115 038,600</w:t>
            </w:r>
            <w:r w:rsidRPr="00A66700">
              <w:rPr>
                <w:rFonts w:ascii="Times New Roman" w:hAnsi="Times New Roman" w:cs="Times New Roman"/>
                <w:sz w:val="24"/>
                <w:szCs w:val="24"/>
              </w:rPr>
              <w:t xml:space="preserve"> тыс. рублей, в том числе по годам:</w:t>
            </w:r>
          </w:p>
          <w:p w14:paraId="09061F8A" w14:textId="77777777"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2020 год – 9 896,500 тыс. рублей;</w:t>
            </w:r>
          </w:p>
          <w:p w14:paraId="4AF49ADE" w14:textId="77777777"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2021 год – 1</w:t>
            </w:r>
            <w:r w:rsidR="00152455">
              <w:rPr>
                <w:rFonts w:ascii="Times New Roman" w:hAnsi="Times New Roman" w:cs="Times New Roman"/>
                <w:sz w:val="24"/>
                <w:szCs w:val="24"/>
              </w:rPr>
              <w:t>3 709,700</w:t>
            </w:r>
            <w:r w:rsidRPr="00A66700">
              <w:rPr>
                <w:rFonts w:ascii="Times New Roman" w:hAnsi="Times New Roman" w:cs="Times New Roman"/>
                <w:sz w:val="24"/>
                <w:szCs w:val="24"/>
              </w:rPr>
              <w:t xml:space="preserve"> тыс. рублей;</w:t>
            </w:r>
          </w:p>
          <w:p w14:paraId="24E61728" w14:textId="77777777" w:rsid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152455">
              <w:rPr>
                <w:rFonts w:ascii="Times New Roman" w:hAnsi="Times New Roman" w:cs="Times New Roman"/>
                <w:sz w:val="24"/>
                <w:szCs w:val="24"/>
              </w:rPr>
              <w:t>19 440,100</w:t>
            </w:r>
            <w:r w:rsidRPr="00A66700">
              <w:rPr>
                <w:rFonts w:ascii="Times New Roman" w:hAnsi="Times New Roman" w:cs="Times New Roman"/>
                <w:sz w:val="24"/>
                <w:szCs w:val="24"/>
              </w:rPr>
              <w:t xml:space="preserve"> тыс. рублей</w:t>
            </w:r>
            <w:r w:rsidR="00D5434C">
              <w:rPr>
                <w:rFonts w:ascii="Times New Roman" w:hAnsi="Times New Roman" w:cs="Times New Roman"/>
                <w:sz w:val="24"/>
                <w:szCs w:val="24"/>
              </w:rPr>
              <w:t>;</w:t>
            </w:r>
          </w:p>
          <w:p w14:paraId="2A133193" w14:textId="77777777" w:rsidR="00A66700" w:rsidRDefault="00152455"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2023 год – 24</w:t>
            </w:r>
            <w:r w:rsidR="00D5434C">
              <w:rPr>
                <w:rFonts w:ascii="Times New Roman" w:hAnsi="Times New Roman" w:cs="Times New Roman"/>
                <w:sz w:val="24"/>
                <w:szCs w:val="24"/>
              </w:rPr>
              <w:t> </w:t>
            </w:r>
            <w:r>
              <w:rPr>
                <w:rFonts w:ascii="Times New Roman" w:hAnsi="Times New Roman" w:cs="Times New Roman"/>
                <w:sz w:val="24"/>
                <w:szCs w:val="24"/>
              </w:rPr>
              <w:t>0</w:t>
            </w:r>
            <w:r w:rsidR="00D5434C">
              <w:rPr>
                <w:rFonts w:ascii="Times New Roman" w:hAnsi="Times New Roman" w:cs="Times New Roman"/>
                <w:sz w:val="24"/>
                <w:szCs w:val="24"/>
              </w:rPr>
              <w:t>04,100</w:t>
            </w:r>
            <w:r>
              <w:rPr>
                <w:rFonts w:ascii="Times New Roman" w:hAnsi="Times New Roman" w:cs="Times New Roman"/>
                <w:sz w:val="24"/>
                <w:szCs w:val="24"/>
              </w:rPr>
              <w:t xml:space="preserve"> тыс. рублей</w:t>
            </w:r>
            <w:r w:rsidR="00D5434C">
              <w:rPr>
                <w:rFonts w:ascii="Times New Roman" w:hAnsi="Times New Roman" w:cs="Times New Roman"/>
                <w:sz w:val="24"/>
                <w:szCs w:val="24"/>
              </w:rPr>
              <w:t>;</w:t>
            </w:r>
          </w:p>
          <w:p w14:paraId="3D61984A" w14:textId="2DD5DB8A" w:rsidR="00D5434C" w:rsidRDefault="00D5434C"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2024 год – 23 994,100 тыс. рублей</w:t>
            </w:r>
            <w:r w:rsidR="00CE4818">
              <w:rPr>
                <w:rFonts w:ascii="Times New Roman" w:hAnsi="Times New Roman" w:cs="Times New Roman"/>
                <w:sz w:val="24"/>
                <w:szCs w:val="24"/>
              </w:rPr>
              <w:t>;</w:t>
            </w:r>
          </w:p>
          <w:p w14:paraId="0054024C" w14:textId="2E7A9329" w:rsidR="00CE4818" w:rsidRDefault="00CE4818"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065CCC">
              <w:rPr>
                <w:rFonts w:ascii="Times New Roman" w:hAnsi="Times New Roman" w:cs="Times New Roman"/>
                <w:sz w:val="24"/>
                <w:szCs w:val="24"/>
              </w:rPr>
              <w:t>23 994,100 тыс. рублей.</w:t>
            </w:r>
          </w:p>
          <w:p w14:paraId="641C1816" w14:textId="77777777" w:rsidR="00152455" w:rsidRPr="00A66700" w:rsidRDefault="00152455" w:rsidP="00152455">
            <w:pPr>
              <w:pStyle w:val="ConsPlusNormal"/>
              <w:jc w:val="both"/>
              <w:rPr>
                <w:rFonts w:ascii="Times New Roman" w:hAnsi="Times New Roman" w:cs="Times New Roman"/>
                <w:sz w:val="24"/>
                <w:szCs w:val="24"/>
              </w:rPr>
            </w:pPr>
          </w:p>
        </w:tc>
      </w:tr>
      <w:tr w:rsidR="001E3B32" w:rsidRPr="001E3B32" w14:paraId="26B8A6A8" w14:textId="77777777" w:rsidTr="001E3B32">
        <w:trPr>
          <w:tblCellSpacing w:w="5" w:type="nil"/>
        </w:trPr>
        <w:tc>
          <w:tcPr>
            <w:tcW w:w="3175" w:type="dxa"/>
          </w:tcPr>
          <w:p w14:paraId="17F84767" w14:textId="77777777"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r w:rsidRPr="001E3B32">
              <w:rPr>
                <w:rFonts w:ascii="Times New Roman" w:hAnsi="Times New Roman" w:cs="Times New Roman"/>
                <w:sz w:val="24"/>
                <w:szCs w:val="24"/>
              </w:rPr>
              <w:lastRenderedPageBreak/>
              <w:t>Объем налоговых расходов Курской области в рамках реализации подпрограммы (всего)</w:t>
            </w:r>
          </w:p>
          <w:p w14:paraId="2AD80233" w14:textId="77777777"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14:paraId="3BD938D1" w14:textId="77777777" w:rsidR="001E3B32" w:rsidRPr="001E3B32" w:rsidRDefault="001E3B32" w:rsidP="001E3B32">
            <w:pPr>
              <w:widowControl w:val="0"/>
              <w:autoSpaceDE w:val="0"/>
              <w:autoSpaceDN w:val="0"/>
              <w:adjustRightInd w:val="0"/>
              <w:spacing w:after="0" w:line="240" w:lineRule="auto"/>
              <w:jc w:val="center"/>
              <w:rPr>
                <w:rFonts w:ascii="Times New Roman" w:hAnsi="Times New Roman" w:cs="Times New Roman"/>
                <w:sz w:val="24"/>
                <w:szCs w:val="24"/>
              </w:rPr>
            </w:pPr>
            <w:r w:rsidRPr="001E3B32">
              <w:rPr>
                <w:rFonts w:ascii="Times New Roman" w:hAnsi="Times New Roman" w:cs="Times New Roman"/>
                <w:sz w:val="24"/>
                <w:szCs w:val="24"/>
              </w:rPr>
              <w:t>-</w:t>
            </w:r>
          </w:p>
        </w:tc>
        <w:tc>
          <w:tcPr>
            <w:tcW w:w="5630" w:type="dxa"/>
          </w:tcPr>
          <w:p w14:paraId="17657F0C" w14:textId="5EE93297" w:rsidR="001E3B32" w:rsidRDefault="000F3FDC" w:rsidP="000F3FDC">
            <w:pPr>
              <w:pStyle w:val="ConsPlusNormal"/>
              <w:keepNext/>
              <w:suppressAutoHyphens/>
              <w:contextualSpacing/>
              <w:jc w:val="both"/>
              <w:rPr>
                <w:rFonts w:ascii="Times New Roman" w:hAnsi="Times New Roman" w:cs="Times New Roman"/>
                <w:sz w:val="24"/>
                <w:szCs w:val="24"/>
              </w:rPr>
            </w:pPr>
            <w:r>
              <w:rPr>
                <w:rFonts w:ascii="Times New Roman" w:hAnsi="Times New Roman" w:cs="Times New Roman"/>
                <w:sz w:val="24"/>
                <w:szCs w:val="24"/>
              </w:rPr>
              <w:t>2020-202</w:t>
            </w:r>
            <w:r w:rsidR="00065CCC">
              <w:rPr>
                <w:rFonts w:ascii="Times New Roman" w:hAnsi="Times New Roman" w:cs="Times New Roman"/>
                <w:sz w:val="24"/>
                <w:szCs w:val="24"/>
              </w:rPr>
              <w:t>5</w:t>
            </w:r>
            <w:r>
              <w:rPr>
                <w:rFonts w:ascii="Times New Roman" w:hAnsi="Times New Roman" w:cs="Times New Roman"/>
                <w:sz w:val="24"/>
                <w:szCs w:val="24"/>
              </w:rPr>
              <w:t xml:space="preserve"> годы – 8 </w:t>
            </w:r>
            <w:r w:rsidR="00065CCC">
              <w:rPr>
                <w:rFonts w:ascii="Times New Roman" w:hAnsi="Times New Roman" w:cs="Times New Roman"/>
                <w:sz w:val="24"/>
                <w:szCs w:val="24"/>
              </w:rPr>
              <w:t>019</w:t>
            </w:r>
            <w:r>
              <w:rPr>
                <w:rFonts w:ascii="Times New Roman" w:hAnsi="Times New Roman" w:cs="Times New Roman"/>
                <w:sz w:val="24"/>
                <w:szCs w:val="24"/>
              </w:rPr>
              <w:t> </w:t>
            </w:r>
            <w:r w:rsidR="00065CCC">
              <w:rPr>
                <w:rFonts w:ascii="Times New Roman" w:hAnsi="Times New Roman" w:cs="Times New Roman"/>
                <w:sz w:val="24"/>
                <w:szCs w:val="24"/>
              </w:rPr>
              <w:t>963</w:t>
            </w:r>
            <w:r>
              <w:rPr>
                <w:rFonts w:ascii="Times New Roman" w:hAnsi="Times New Roman" w:cs="Times New Roman"/>
                <w:sz w:val="24"/>
                <w:szCs w:val="24"/>
              </w:rPr>
              <w:t>,00</w:t>
            </w:r>
            <w:r w:rsidR="001E3B32" w:rsidRPr="001E3B32">
              <w:rPr>
                <w:rFonts w:ascii="Times New Roman" w:hAnsi="Times New Roman" w:cs="Times New Roman"/>
                <w:sz w:val="24"/>
                <w:szCs w:val="24"/>
              </w:rPr>
              <w:t xml:space="preserve"> тыс. рублей</w:t>
            </w:r>
            <w:r w:rsidR="00065CCC">
              <w:rPr>
                <w:rFonts w:ascii="Times New Roman" w:hAnsi="Times New Roman" w:cs="Times New Roman"/>
                <w:sz w:val="24"/>
                <w:szCs w:val="24"/>
              </w:rPr>
              <w:t>.</w:t>
            </w:r>
          </w:p>
          <w:p w14:paraId="2BC7B006" w14:textId="77777777"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p>
        </w:tc>
      </w:tr>
      <w:tr w:rsidR="00EB5A14" w:rsidRPr="00EB5A14" w14:paraId="3CF850A8" w14:textId="77777777" w:rsidTr="008916FB">
        <w:trPr>
          <w:tblCellSpacing w:w="5" w:type="nil"/>
        </w:trPr>
        <w:tc>
          <w:tcPr>
            <w:tcW w:w="3175" w:type="dxa"/>
          </w:tcPr>
          <w:p w14:paraId="14DE31A8" w14:textId="77777777" w:rsidR="00EB5A14" w:rsidRPr="00EB5A14" w:rsidRDefault="00EB5A14" w:rsidP="00EB5A14">
            <w:pPr>
              <w:autoSpaceDE w:val="0"/>
              <w:autoSpaceDN w:val="0"/>
              <w:adjustRightInd w:val="0"/>
              <w:spacing w:after="0" w:line="240" w:lineRule="auto"/>
              <w:rPr>
                <w:rFonts w:ascii="Times New Roman" w:hAnsi="Times New Roman" w:cs="Times New Roman"/>
                <w:sz w:val="24"/>
                <w:szCs w:val="24"/>
              </w:rPr>
            </w:pPr>
            <w:r w:rsidRPr="00EB5A14">
              <w:rPr>
                <w:rFonts w:ascii="Times New Roman" w:hAnsi="Times New Roman" w:cs="Times New Roman"/>
                <w:sz w:val="24"/>
                <w:szCs w:val="24"/>
              </w:rPr>
              <w:t>Ожидаемые результаты реализации подпрограммы</w:t>
            </w:r>
          </w:p>
        </w:tc>
        <w:tc>
          <w:tcPr>
            <w:tcW w:w="340" w:type="dxa"/>
          </w:tcPr>
          <w:p w14:paraId="2B23BD78" w14:textId="77777777" w:rsidR="00EB5A14" w:rsidRPr="00EB5A14" w:rsidRDefault="00EB5A14" w:rsidP="00EB5A14">
            <w:pPr>
              <w:autoSpaceDE w:val="0"/>
              <w:autoSpaceDN w:val="0"/>
              <w:adjustRightInd w:val="0"/>
              <w:spacing w:after="0" w:line="240" w:lineRule="auto"/>
              <w:jc w:val="center"/>
              <w:rPr>
                <w:rFonts w:ascii="Times New Roman" w:hAnsi="Times New Roman" w:cs="Times New Roman"/>
                <w:sz w:val="24"/>
                <w:szCs w:val="24"/>
              </w:rPr>
            </w:pPr>
            <w:r w:rsidRPr="00EB5A14">
              <w:rPr>
                <w:rFonts w:ascii="Times New Roman" w:hAnsi="Times New Roman" w:cs="Times New Roman"/>
                <w:sz w:val="24"/>
                <w:szCs w:val="24"/>
              </w:rPr>
              <w:t>-</w:t>
            </w:r>
          </w:p>
        </w:tc>
        <w:tc>
          <w:tcPr>
            <w:tcW w:w="5630" w:type="dxa"/>
          </w:tcPr>
          <w:p w14:paraId="15286A5B" w14:textId="64954492"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достижение объема инвестиций в основной капитал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в сумме </w:t>
            </w:r>
            <w:r w:rsidR="00065CCC">
              <w:rPr>
                <w:rFonts w:ascii="Times New Roman" w:hAnsi="Times New Roman" w:cs="Times New Roman"/>
                <w:sz w:val="24"/>
                <w:szCs w:val="24"/>
              </w:rPr>
              <w:t>222,7</w:t>
            </w:r>
            <w:r w:rsidRPr="00EB5A14">
              <w:rPr>
                <w:rFonts w:ascii="Times New Roman" w:hAnsi="Times New Roman" w:cs="Times New Roman"/>
                <w:sz w:val="24"/>
                <w:szCs w:val="24"/>
              </w:rPr>
              <w:t xml:space="preserve"> млрд. рублей;</w:t>
            </w:r>
          </w:p>
          <w:p w14:paraId="4A84DCA8" w14:textId="0C5EA3A3"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достижение объема инвестиций в основной капитал на душу населения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в сумме </w:t>
            </w:r>
            <w:r w:rsidR="00065CCC">
              <w:rPr>
                <w:rFonts w:ascii="Times New Roman" w:hAnsi="Times New Roman" w:cs="Times New Roman"/>
                <w:sz w:val="24"/>
                <w:szCs w:val="24"/>
              </w:rPr>
              <w:t>206,6</w:t>
            </w:r>
            <w:r w:rsidRPr="00EB5A14">
              <w:rPr>
                <w:rFonts w:ascii="Times New Roman" w:hAnsi="Times New Roman" w:cs="Times New Roman"/>
                <w:sz w:val="24"/>
                <w:szCs w:val="24"/>
              </w:rPr>
              <w:t xml:space="preserve"> тыс. рублей;</w:t>
            </w:r>
          </w:p>
          <w:p w14:paraId="6611EA54" w14:textId="77E81671"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lastRenderedPageBreak/>
              <w:t>площадь промышленных парков, занимаемая резидентами,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составит не менее </w:t>
            </w:r>
            <w:r w:rsidR="00065CCC">
              <w:rPr>
                <w:rFonts w:ascii="Times New Roman" w:hAnsi="Times New Roman" w:cs="Times New Roman"/>
                <w:sz w:val="24"/>
                <w:szCs w:val="24"/>
              </w:rPr>
              <w:t>5</w:t>
            </w:r>
            <w:r w:rsidRPr="00EB5A14">
              <w:rPr>
                <w:rFonts w:ascii="Times New Roman" w:hAnsi="Times New Roman" w:cs="Times New Roman"/>
                <w:sz w:val="24"/>
                <w:szCs w:val="24"/>
              </w:rPr>
              <w:t>0% от общей площади промышленных парков;</w:t>
            </w:r>
          </w:p>
          <w:p w14:paraId="5857756D" w14:textId="2261E808"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объем инвестиций в основной капитал, вложенный за 2019 - 202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годы резидентами промышленных парков, составит не менее </w:t>
            </w:r>
            <w:r w:rsidR="00065CCC">
              <w:rPr>
                <w:rFonts w:ascii="Times New Roman" w:hAnsi="Times New Roman" w:cs="Times New Roman"/>
                <w:sz w:val="24"/>
                <w:szCs w:val="24"/>
              </w:rPr>
              <w:t>5,7</w:t>
            </w:r>
            <w:r w:rsidRPr="00EB5A14">
              <w:rPr>
                <w:rFonts w:ascii="Times New Roman" w:hAnsi="Times New Roman" w:cs="Times New Roman"/>
                <w:sz w:val="24"/>
                <w:szCs w:val="24"/>
              </w:rPr>
              <w:t xml:space="preserve"> млрд. рублей;</w:t>
            </w:r>
          </w:p>
          <w:p w14:paraId="2E40B96E" w14:textId="55D0C565"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численность постоянно работающих на вновь созданных предприятиях (в организациях) на территории промышленных парков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составит 1</w:t>
            </w:r>
            <w:r w:rsidR="00065CCC">
              <w:rPr>
                <w:rFonts w:ascii="Times New Roman" w:hAnsi="Times New Roman" w:cs="Times New Roman"/>
                <w:sz w:val="24"/>
                <w:szCs w:val="24"/>
              </w:rPr>
              <w:t>1</w:t>
            </w:r>
            <w:r w:rsidRPr="00EB5A14">
              <w:rPr>
                <w:rFonts w:ascii="Times New Roman" w:hAnsi="Times New Roman" w:cs="Times New Roman"/>
                <w:sz w:val="24"/>
                <w:szCs w:val="24"/>
              </w:rPr>
              <w:t>00 человек;</w:t>
            </w:r>
          </w:p>
          <w:p w14:paraId="04167AD8" w14:textId="4A2804EF" w:rsid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сумма налога на доходы физических лиц, перечисленная в доход консолидированного бюджета области организациями, вновь созданными на территории промышленных парков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составит </w:t>
            </w:r>
            <w:r w:rsidR="000F3FDC">
              <w:rPr>
                <w:rFonts w:ascii="Times New Roman" w:hAnsi="Times New Roman" w:cs="Times New Roman"/>
                <w:sz w:val="24"/>
                <w:szCs w:val="24"/>
              </w:rPr>
              <w:t>4</w:t>
            </w:r>
            <w:r w:rsidR="00065CCC">
              <w:rPr>
                <w:rFonts w:ascii="Times New Roman" w:hAnsi="Times New Roman" w:cs="Times New Roman"/>
                <w:sz w:val="24"/>
                <w:szCs w:val="24"/>
              </w:rPr>
              <w:t>2</w:t>
            </w:r>
            <w:r w:rsidRPr="00EB5A14">
              <w:rPr>
                <w:rFonts w:ascii="Times New Roman" w:hAnsi="Times New Roman" w:cs="Times New Roman"/>
                <w:sz w:val="24"/>
                <w:szCs w:val="24"/>
              </w:rPr>
              <w:t xml:space="preserve"> млн. рублей; </w:t>
            </w:r>
          </w:p>
          <w:p w14:paraId="6D7367B0" w14:textId="77777777" w:rsidR="000F3FDC" w:rsidRPr="00EB5A14" w:rsidRDefault="000F3FDC" w:rsidP="00EB5A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2023 году планируется создание единой системы сопровождения и поддержки региональных инвестпроектов;</w:t>
            </w:r>
          </w:p>
          <w:p w14:paraId="7F5DC61E" w14:textId="75CB2D4A"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руководителей, обученных по программе управленческих навыков для повышения производительности труда, в 2021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w:t>
            </w:r>
            <w:r w:rsidR="000F3FDC">
              <w:rPr>
                <w:rFonts w:ascii="Times New Roman" w:hAnsi="Times New Roman" w:cs="Times New Roman"/>
                <w:sz w:val="24"/>
                <w:szCs w:val="24"/>
              </w:rPr>
              <w:t>52</w:t>
            </w:r>
            <w:r w:rsidRPr="00EB5A14">
              <w:rPr>
                <w:rFonts w:ascii="Times New Roman" w:hAnsi="Times New Roman" w:cs="Times New Roman"/>
                <w:sz w:val="24"/>
                <w:szCs w:val="24"/>
              </w:rPr>
              <w:t xml:space="preserve"> человек;</w:t>
            </w:r>
          </w:p>
          <w:p w14:paraId="4B865E6A" w14:textId="136A6B3A"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доля предприятий, достигших ежегодный 5 % прирост производительности труда на предприятиях – участниках, внедряющих мероприятия национального проекта под федеральным и региональным управлением, в течение трех лет участия в проекте составит в 2022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годах 50 %;</w:t>
            </w:r>
          </w:p>
          <w:p w14:paraId="7CE0E989" w14:textId="471A97B1"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вовлеченных в национальный проект через получение адресной поддержки, в 2020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56 единиц;</w:t>
            </w:r>
          </w:p>
          <w:p w14:paraId="5B6C3596" w14:textId="71358C84"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и представителей региональных команд, прошедших обучение инструментам  повышения производительности труда, в 2020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7</w:t>
            </w:r>
            <w:r w:rsidR="00065CCC">
              <w:rPr>
                <w:rFonts w:ascii="Times New Roman" w:hAnsi="Times New Roman" w:cs="Times New Roman"/>
                <w:sz w:val="24"/>
                <w:szCs w:val="24"/>
              </w:rPr>
              <w:t>84</w:t>
            </w:r>
            <w:r w:rsidRPr="00EB5A14">
              <w:rPr>
                <w:rFonts w:ascii="Times New Roman" w:hAnsi="Times New Roman" w:cs="Times New Roman"/>
                <w:sz w:val="24"/>
                <w:szCs w:val="24"/>
              </w:rPr>
              <w:t xml:space="preserve"> человека;</w:t>
            </w:r>
          </w:p>
          <w:p w14:paraId="6150AF68" w14:textId="77777777"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самостоятельно, составит 2 единицы;</w:t>
            </w:r>
          </w:p>
          <w:p w14:paraId="6F66028B" w14:textId="35FF718E"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под федеральным управлением (с ФЦК), в 2020 -202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18 единиц;</w:t>
            </w:r>
          </w:p>
          <w:p w14:paraId="377C7F90" w14:textId="77777777"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создан региональный центр компетенций в целях распространения лучших практик производительности труда;</w:t>
            </w:r>
          </w:p>
          <w:p w14:paraId="3E3694E6" w14:textId="5365B1C2"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удовлетворенность предприятий работой региональных центров компетенций (доля предприятий, удовлетворенных работой названных центров) достигнет в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году 80 %;</w:t>
            </w:r>
          </w:p>
          <w:p w14:paraId="4EFB105F" w14:textId="294B0DB5"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количество сотрудников предприятий, прошедших обучение инструментам  повышения </w:t>
            </w:r>
            <w:r w:rsidRPr="00EB5A14">
              <w:rPr>
                <w:rFonts w:ascii="Times New Roman" w:hAnsi="Times New Roman" w:cs="Times New Roman"/>
                <w:sz w:val="24"/>
                <w:szCs w:val="24"/>
              </w:rPr>
              <w:lastRenderedPageBreak/>
              <w:t>производительности труда под  региональным управлением (с РЦК), в 2021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w:t>
            </w:r>
            <w:r w:rsidR="004039A4">
              <w:rPr>
                <w:rFonts w:ascii="Times New Roman" w:hAnsi="Times New Roman" w:cs="Times New Roman"/>
                <w:sz w:val="24"/>
                <w:szCs w:val="24"/>
              </w:rPr>
              <w:t>406</w:t>
            </w:r>
            <w:r w:rsidRPr="00EB5A14">
              <w:rPr>
                <w:rFonts w:ascii="Times New Roman" w:hAnsi="Times New Roman" w:cs="Times New Roman"/>
                <w:sz w:val="24"/>
                <w:szCs w:val="24"/>
              </w:rPr>
              <w:t xml:space="preserve"> человек;</w:t>
            </w:r>
          </w:p>
          <w:p w14:paraId="10AFFE08" w14:textId="75509A12"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федеральным управлением (с ФЦК), в 2020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2</w:t>
            </w:r>
            <w:r w:rsidR="004039A4">
              <w:rPr>
                <w:rFonts w:ascii="Times New Roman" w:hAnsi="Times New Roman" w:cs="Times New Roman"/>
                <w:sz w:val="24"/>
                <w:szCs w:val="24"/>
              </w:rPr>
              <w:t>72</w:t>
            </w:r>
            <w:r w:rsidRPr="00EB5A14">
              <w:rPr>
                <w:rFonts w:ascii="Times New Roman" w:hAnsi="Times New Roman" w:cs="Times New Roman"/>
                <w:sz w:val="24"/>
                <w:szCs w:val="24"/>
              </w:rPr>
              <w:t xml:space="preserve"> человек;</w:t>
            </w:r>
          </w:p>
          <w:p w14:paraId="4AB13380" w14:textId="77777777"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составит 16 человек;</w:t>
            </w:r>
          </w:p>
          <w:p w14:paraId="0B1190FE" w14:textId="460AB860"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представителей региональных команд, прошедших обучение инструментам повышения производительности труда, в 2021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90 человек;</w:t>
            </w:r>
          </w:p>
          <w:p w14:paraId="3BF40B6F" w14:textId="6BC82332" w:rsid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под региональным управлением (с РЦК), в 2021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36 единиц;</w:t>
            </w:r>
          </w:p>
          <w:p w14:paraId="77FB343D" w14:textId="2103C542" w:rsidR="004039A4" w:rsidRPr="00EB5A14" w:rsidRDefault="004039A4" w:rsidP="00EB5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подготовленных инструкторов по бережливому производству на предприятиях – участниках национального проекта под региональным управлением (с РЦК) в 2022 – 2025 годах составит 60 человек</w:t>
            </w:r>
            <w:r w:rsidR="00311D60">
              <w:rPr>
                <w:rFonts w:ascii="Times New Roman" w:hAnsi="Times New Roman" w:cs="Times New Roman"/>
                <w:sz w:val="24"/>
                <w:szCs w:val="24"/>
              </w:rPr>
              <w:t>;</w:t>
            </w:r>
          </w:p>
          <w:p w14:paraId="1C676CC8" w14:textId="28D418CC"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реализовано в 2022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36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14:paraId="46C4E4C3" w14:textId="77777777"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созданы потоки - 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 не менее 1 усл. ед.</w:t>
            </w:r>
          </w:p>
          <w:p w14:paraId="0A88D7D9" w14:textId="77777777"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В качественном выражении:</w:t>
            </w:r>
          </w:p>
          <w:p w14:paraId="3ECD4C7D" w14:textId="77777777"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актуализация законодательства Курской области в соответствии с требованиями федерального законодательства и необходимостью создания более благоприятных условий для работы инвесторов в области;</w:t>
            </w:r>
          </w:p>
          <w:p w14:paraId="64FC3B23" w14:textId="77777777"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lastRenderedPageBreak/>
              <w:t>принятие нормативных правовых актов Курской области, создающих условия для реализации инвестиционных проектов на принципах государственно-частного партнерства;</w:t>
            </w:r>
          </w:p>
          <w:p w14:paraId="3B75A4DA" w14:textId="77777777"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проведение мероприятий по позиционированию Курской области как территории, благоприятной для развития бизнеса;</w:t>
            </w:r>
          </w:p>
          <w:p w14:paraId="2B4211B1" w14:textId="77777777"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присвоение (обновление) и поддержание рейтинга Курской области по международной шкале и присвоение (обновление) и поддержание рейтинга Курской области и выпускаемым государственным ценным бумагам Курской</w:t>
            </w:r>
            <w:r>
              <w:rPr>
                <w:rFonts w:ascii="Times New Roman" w:hAnsi="Times New Roman" w:cs="Times New Roman"/>
                <w:sz w:val="24"/>
                <w:szCs w:val="24"/>
              </w:rPr>
              <w:t xml:space="preserve"> области по национальной шкале</w:t>
            </w:r>
          </w:p>
          <w:p w14:paraId="20AD8C9E" w14:textId="77777777"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p>
        </w:tc>
      </w:tr>
    </w:tbl>
    <w:p w14:paraId="1D3B0CE8" w14:textId="77777777" w:rsidR="008916FB" w:rsidRPr="0077776F" w:rsidRDefault="0021081C" w:rsidP="008916FB">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2" w:name="Par1042"/>
      <w:bookmarkEnd w:id="2"/>
      <w:r w:rsidRPr="0077776F">
        <w:rPr>
          <w:rFonts w:ascii="Times New Roman" w:hAnsi="Times New Roman" w:cs="Times New Roman"/>
          <w:b/>
          <w:sz w:val="28"/>
          <w:szCs w:val="28"/>
        </w:rPr>
        <w:lastRenderedPageBreak/>
        <w:t>Раздел 1. Х</w:t>
      </w:r>
      <w:r w:rsidR="008916FB" w:rsidRPr="0077776F">
        <w:rPr>
          <w:rFonts w:ascii="Times New Roman" w:hAnsi="Times New Roman" w:cs="Times New Roman"/>
          <w:b/>
          <w:sz w:val="28"/>
          <w:szCs w:val="28"/>
        </w:rPr>
        <w:t xml:space="preserve">арактеристика сферы реализации подпрограммы, </w:t>
      </w:r>
    </w:p>
    <w:p w14:paraId="7D6AEBE1" w14:textId="77777777" w:rsidR="0021081C" w:rsidRPr="0077776F" w:rsidRDefault="008916FB" w:rsidP="008916F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описание основных проблем в указанной сфере и прогноз ее развития</w:t>
      </w:r>
    </w:p>
    <w:p w14:paraId="09E82182" w14:textId="77777777"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14:paraId="295A3AFD"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складывающихся экономических условиях развитие инвестиционной деятельности стало краеугольным камнем для ускорения динамики социально-экономического развития области.</w:t>
      </w:r>
    </w:p>
    <w:p w14:paraId="0595CFAF"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Как показывают международный опыт и российская практика создания благоприятного инвестиционного климата, усилия власти регионального уровня имеют решающее значение при выборе прямыми инвесторами места территориальной локализации своих производств с вложением необходимых объемов инвестиций. Анализ и оценка методов привлечения инвесторов в субъектах Российской Федерации позволяют выделить и объединить в рамках подпрограммы комплекс мер, практическая реализация которых способна обеспечить реальное улучшение инвестиционного климата Курской области.</w:t>
      </w:r>
    </w:p>
    <w:p w14:paraId="5F4D22E5"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Инновационная направленность развития является основой м</w:t>
      </w:r>
      <w:r w:rsidR="00BF5062" w:rsidRPr="0077776F">
        <w:rPr>
          <w:rFonts w:ascii="Times New Roman" w:hAnsi="Times New Roman" w:cs="Times New Roman"/>
          <w:sz w:val="28"/>
          <w:szCs w:val="28"/>
        </w:rPr>
        <w:t>одернизации экономики, при этом</w:t>
      </w:r>
      <w:r w:rsidRPr="0077776F">
        <w:rPr>
          <w:rFonts w:ascii="Times New Roman" w:hAnsi="Times New Roman" w:cs="Times New Roman"/>
          <w:sz w:val="28"/>
          <w:szCs w:val="28"/>
        </w:rPr>
        <w:t xml:space="preserve"> требуется привлечение больших объемов инвестиций, причем на качественно более высоком уровне. Без реализации инвестиционных проектов, направленных на создание новых инновационных производств,</w:t>
      </w:r>
      <w:r w:rsidR="00BF5062" w:rsidRPr="0077776F">
        <w:rPr>
          <w:rFonts w:ascii="Times New Roman" w:hAnsi="Times New Roman" w:cs="Times New Roman"/>
          <w:sz w:val="28"/>
          <w:szCs w:val="28"/>
        </w:rPr>
        <w:t xml:space="preserve"> внедрения передовых технологий</w:t>
      </w:r>
      <w:r w:rsidRPr="0077776F">
        <w:rPr>
          <w:rFonts w:ascii="Times New Roman" w:hAnsi="Times New Roman" w:cs="Times New Roman"/>
          <w:sz w:val="28"/>
          <w:szCs w:val="28"/>
        </w:rPr>
        <w:t xml:space="preserve"> невозможно обеспечить выпуск конкурентоспособной продукции, создание новых рабочих мест, повышение заработной платы работников, а также стабильные налоговые поступления от деятельности предприятий и организаций. Поэтому основой дальнейшего социально-экономического развития Курской области является стабильный рост инвестиций в создание новых высокоэффективных производств инновационной направленности, прежде всего, в обрабатывающих отраслях, а также модернизацию действующих производств.</w:t>
      </w:r>
    </w:p>
    <w:p w14:paraId="2D409F7B" w14:textId="77777777" w:rsidR="00837DF0" w:rsidRPr="0077776F" w:rsidRDefault="00837DF0">
      <w:pPr>
        <w:widowControl w:val="0"/>
        <w:autoSpaceDE w:val="0"/>
        <w:autoSpaceDN w:val="0"/>
        <w:adjustRightInd w:val="0"/>
        <w:spacing w:after="0" w:line="240" w:lineRule="auto"/>
        <w:jc w:val="both"/>
        <w:rPr>
          <w:rFonts w:ascii="Times New Roman" w:hAnsi="Times New Roman" w:cs="Times New Roman"/>
          <w:b/>
          <w:sz w:val="16"/>
          <w:szCs w:val="16"/>
        </w:rPr>
      </w:pPr>
    </w:p>
    <w:p w14:paraId="233307EE" w14:textId="77777777" w:rsidR="000A27E7" w:rsidRPr="0077776F" w:rsidRDefault="000A27E7">
      <w:pPr>
        <w:widowControl w:val="0"/>
        <w:autoSpaceDE w:val="0"/>
        <w:autoSpaceDN w:val="0"/>
        <w:adjustRightInd w:val="0"/>
        <w:spacing w:after="0" w:line="240" w:lineRule="auto"/>
        <w:jc w:val="both"/>
        <w:rPr>
          <w:rFonts w:ascii="Times New Roman" w:hAnsi="Times New Roman" w:cs="Times New Roman"/>
          <w:b/>
          <w:sz w:val="16"/>
          <w:szCs w:val="16"/>
        </w:rPr>
      </w:pPr>
    </w:p>
    <w:p w14:paraId="77C3EB8E" w14:textId="77777777" w:rsidR="0021081C"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3" w:name="Par1051"/>
      <w:bookmarkEnd w:id="3"/>
      <w:r w:rsidRPr="0077776F">
        <w:rPr>
          <w:rFonts w:ascii="Times New Roman" w:hAnsi="Times New Roman" w:cs="Times New Roman"/>
          <w:sz w:val="24"/>
          <w:szCs w:val="24"/>
        </w:rPr>
        <w:t>Показатели инвестиций в основной капитал</w:t>
      </w:r>
    </w:p>
    <w:p w14:paraId="3230AC56" w14:textId="77777777"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 Курской области за 201</w:t>
      </w:r>
      <w:r w:rsidR="00AE1C1B" w:rsidRPr="0077776F">
        <w:rPr>
          <w:rFonts w:ascii="Times New Roman" w:hAnsi="Times New Roman" w:cs="Times New Roman"/>
          <w:sz w:val="24"/>
          <w:szCs w:val="24"/>
        </w:rPr>
        <w:t>3</w:t>
      </w:r>
      <w:r w:rsidRPr="0077776F">
        <w:rPr>
          <w:rFonts w:ascii="Times New Roman" w:hAnsi="Times New Roman" w:cs="Times New Roman"/>
          <w:sz w:val="24"/>
          <w:szCs w:val="24"/>
        </w:rPr>
        <w:t xml:space="preserve"> - 201</w:t>
      </w:r>
      <w:r w:rsidR="00AE1C1B" w:rsidRPr="0077776F">
        <w:rPr>
          <w:rFonts w:ascii="Times New Roman" w:hAnsi="Times New Roman" w:cs="Times New Roman"/>
          <w:sz w:val="24"/>
          <w:szCs w:val="24"/>
        </w:rPr>
        <w:t>5</w:t>
      </w:r>
      <w:r w:rsidRPr="0077776F">
        <w:rPr>
          <w:rFonts w:ascii="Times New Roman" w:hAnsi="Times New Roman" w:cs="Times New Roman"/>
          <w:sz w:val="24"/>
          <w:szCs w:val="24"/>
        </w:rPr>
        <w:t xml:space="preserve"> годы</w:t>
      </w:r>
    </w:p>
    <w:p w14:paraId="10501B90" w14:textId="77777777" w:rsidR="004E7821" w:rsidRPr="0077776F" w:rsidRDefault="004E7821">
      <w:pPr>
        <w:widowControl w:val="0"/>
        <w:autoSpaceDE w:val="0"/>
        <w:autoSpaceDN w:val="0"/>
        <w:adjustRightInd w:val="0"/>
        <w:spacing w:after="0" w:line="240" w:lineRule="auto"/>
        <w:jc w:val="center"/>
        <w:rPr>
          <w:rFonts w:ascii="Times New Roman" w:hAnsi="Times New Roman" w:cs="Times New Roman"/>
          <w:sz w:val="16"/>
          <w:szCs w:val="16"/>
        </w:rPr>
      </w:pPr>
    </w:p>
    <w:tbl>
      <w:tblPr>
        <w:tblW w:w="93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988"/>
        <w:gridCol w:w="1311"/>
        <w:gridCol w:w="1116"/>
        <w:gridCol w:w="1311"/>
      </w:tblGrid>
      <w:tr w:rsidR="004E7821" w:rsidRPr="0077776F" w14:paraId="7F80BDD7" w14:textId="77777777" w:rsidTr="004E7821">
        <w:tc>
          <w:tcPr>
            <w:tcW w:w="4609" w:type="dxa"/>
          </w:tcPr>
          <w:p w14:paraId="6C3E1F41" w14:textId="77777777" w:rsidR="004E7821" w:rsidRPr="0077776F" w:rsidRDefault="004E7821" w:rsidP="004E7821">
            <w:pPr>
              <w:spacing w:after="0" w:line="240" w:lineRule="auto"/>
              <w:jc w:val="center"/>
              <w:rPr>
                <w:rFonts w:ascii="Times New Roman" w:hAnsi="Times New Roman" w:cs="Times New Roman"/>
                <w:sz w:val="24"/>
                <w:szCs w:val="24"/>
              </w:rPr>
            </w:pPr>
          </w:p>
        </w:tc>
        <w:tc>
          <w:tcPr>
            <w:tcW w:w="988" w:type="dxa"/>
          </w:tcPr>
          <w:p w14:paraId="2641E671"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Ед.</w:t>
            </w:r>
          </w:p>
          <w:p w14:paraId="49325132"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lastRenderedPageBreak/>
              <w:t>изм.</w:t>
            </w:r>
          </w:p>
        </w:tc>
        <w:tc>
          <w:tcPr>
            <w:tcW w:w="1311" w:type="dxa"/>
          </w:tcPr>
          <w:p w14:paraId="2A61C455"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lastRenderedPageBreak/>
              <w:t xml:space="preserve">2013 </w:t>
            </w:r>
          </w:p>
          <w:p w14:paraId="03B5AA34"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lastRenderedPageBreak/>
              <w:t>год</w:t>
            </w:r>
          </w:p>
        </w:tc>
        <w:tc>
          <w:tcPr>
            <w:tcW w:w="1116" w:type="dxa"/>
          </w:tcPr>
          <w:p w14:paraId="6B4F3EA4"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lastRenderedPageBreak/>
              <w:t>2014</w:t>
            </w:r>
          </w:p>
          <w:p w14:paraId="5A230ACB"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lastRenderedPageBreak/>
              <w:t>год</w:t>
            </w:r>
          </w:p>
        </w:tc>
        <w:tc>
          <w:tcPr>
            <w:tcW w:w="1311" w:type="dxa"/>
          </w:tcPr>
          <w:p w14:paraId="0D61F946"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lastRenderedPageBreak/>
              <w:t>2015</w:t>
            </w:r>
          </w:p>
          <w:p w14:paraId="02A498A6"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lastRenderedPageBreak/>
              <w:t>год</w:t>
            </w:r>
          </w:p>
        </w:tc>
      </w:tr>
      <w:tr w:rsidR="004E7821" w:rsidRPr="0077776F" w14:paraId="3F6E5EAE" w14:textId="77777777" w:rsidTr="004E7821">
        <w:tc>
          <w:tcPr>
            <w:tcW w:w="4609" w:type="dxa"/>
          </w:tcPr>
          <w:p w14:paraId="08FFE164"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lastRenderedPageBreak/>
              <w:t xml:space="preserve">Объем инвестиций в основной капитал по Курской области </w:t>
            </w:r>
          </w:p>
          <w:p w14:paraId="5B765C51"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(в действующих ценах каждого года)</w:t>
            </w:r>
          </w:p>
        </w:tc>
        <w:tc>
          <w:tcPr>
            <w:tcW w:w="988" w:type="dxa"/>
            <w:vAlign w:val="center"/>
          </w:tcPr>
          <w:p w14:paraId="66C088F5"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млн.</w:t>
            </w:r>
          </w:p>
          <w:p w14:paraId="035310AD"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руб.</w:t>
            </w:r>
          </w:p>
        </w:tc>
        <w:tc>
          <w:tcPr>
            <w:tcW w:w="1311" w:type="dxa"/>
            <w:vAlign w:val="center"/>
          </w:tcPr>
          <w:p w14:paraId="24B35F04"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71546,0</w:t>
            </w:r>
          </w:p>
        </w:tc>
        <w:tc>
          <w:tcPr>
            <w:tcW w:w="1116" w:type="dxa"/>
            <w:vAlign w:val="center"/>
          </w:tcPr>
          <w:p w14:paraId="1050EFB4"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73695,2</w:t>
            </w:r>
          </w:p>
        </w:tc>
        <w:tc>
          <w:tcPr>
            <w:tcW w:w="1311" w:type="dxa"/>
            <w:vAlign w:val="center"/>
          </w:tcPr>
          <w:p w14:paraId="0C088F4E"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70378,4</w:t>
            </w:r>
          </w:p>
        </w:tc>
      </w:tr>
      <w:tr w:rsidR="004E7821" w:rsidRPr="0077776F" w14:paraId="1C356966" w14:textId="77777777" w:rsidTr="004E7821">
        <w:tc>
          <w:tcPr>
            <w:tcW w:w="4609" w:type="dxa"/>
          </w:tcPr>
          <w:p w14:paraId="08330DA9"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14:paraId="299FB4B5"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(среди 16 регионов, кроме г. Москвы и Московской области)</w:t>
            </w:r>
          </w:p>
        </w:tc>
        <w:tc>
          <w:tcPr>
            <w:tcW w:w="988" w:type="dxa"/>
            <w:vAlign w:val="center"/>
          </w:tcPr>
          <w:p w14:paraId="6EE452F3" w14:textId="77777777"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14:paraId="484F3441"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9</w:t>
            </w:r>
          </w:p>
        </w:tc>
        <w:tc>
          <w:tcPr>
            <w:tcW w:w="1116" w:type="dxa"/>
            <w:vAlign w:val="center"/>
          </w:tcPr>
          <w:p w14:paraId="219484BF"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w:t>
            </w:r>
          </w:p>
        </w:tc>
        <w:tc>
          <w:tcPr>
            <w:tcW w:w="1311" w:type="dxa"/>
            <w:vAlign w:val="center"/>
          </w:tcPr>
          <w:p w14:paraId="59B552C6"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х</w:t>
            </w:r>
          </w:p>
        </w:tc>
      </w:tr>
      <w:tr w:rsidR="004E7821" w:rsidRPr="0077776F" w14:paraId="18EC772E" w14:textId="77777777" w:rsidTr="004E7821">
        <w:tc>
          <w:tcPr>
            <w:tcW w:w="4609" w:type="dxa"/>
          </w:tcPr>
          <w:p w14:paraId="48191E02"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Индекс физического объема инвестиций</w:t>
            </w:r>
          </w:p>
        </w:tc>
        <w:tc>
          <w:tcPr>
            <w:tcW w:w="988" w:type="dxa"/>
            <w:vAlign w:val="center"/>
          </w:tcPr>
          <w:p w14:paraId="06A11629"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w:t>
            </w:r>
          </w:p>
        </w:tc>
        <w:tc>
          <w:tcPr>
            <w:tcW w:w="1311" w:type="dxa"/>
            <w:vAlign w:val="center"/>
          </w:tcPr>
          <w:p w14:paraId="6CDBD7CB"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101,0</w:t>
            </w:r>
          </w:p>
        </w:tc>
        <w:tc>
          <w:tcPr>
            <w:tcW w:w="1116" w:type="dxa"/>
            <w:vAlign w:val="center"/>
          </w:tcPr>
          <w:p w14:paraId="48F269BA"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99,4</w:t>
            </w:r>
          </w:p>
        </w:tc>
        <w:tc>
          <w:tcPr>
            <w:tcW w:w="1311" w:type="dxa"/>
            <w:vAlign w:val="center"/>
          </w:tcPr>
          <w:p w14:paraId="16CEDC77"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88,0</w:t>
            </w:r>
          </w:p>
        </w:tc>
      </w:tr>
      <w:tr w:rsidR="004E7821" w:rsidRPr="0077776F" w14:paraId="61DEE5B7" w14:textId="77777777" w:rsidTr="004E7821">
        <w:tc>
          <w:tcPr>
            <w:tcW w:w="4609" w:type="dxa"/>
          </w:tcPr>
          <w:p w14:paraId="42A4F128"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14:paraId="4CC47661"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(среди 16 регионов, кроме г. Москвы и Московской области)</w:t>
            </w:r>
          </w:p>
        </w:tc>
        <w:tc>
          <w:tcPr>
            <w:tcW w:w="988" w:type="dxa"/>
            <w:vAlign w:val="center"/>
          </w:tcPr>
          <w:p w14:paraId="27FE41D4" w14:textId="77777777"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14:paraId="60302CA4"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w:t>
            </w:r>
          </w:p>
        </w:tc>
        <w:tc>
          <w:tcPr>
            <w:tcW w:w="1116" w:type="dxa"/>
            <w:vAlign w:val="center"/>
          </w:tcPr>
          <w:p w14:paraId="332D8C7C"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w:t>
            </w:r>
          </w:p>
        </w:tc>
        <w:tc>
          <w:tcPr>
            <w:tcW w:w="1311" w:type="dxa"/>
            <w:vAlign w:val="center"/>
          </w:tcPr>
          <w:p w14:paraId="75734304"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х</w:t>
            </w:r>
          </w:p>
        </w:tc>
      </w:tr>
      <w:tr w:rsidR="004E7821" w:rsidRPr="0077776F" w14:paraId="7ECA7C84" w14:textId="77777777" w:rsidTr="004E7821">
        <w:tc>
          <w:tcPr>
            <w:tcW w:w="4609" w:type="dxa"/>
          </w:tcPr>
          <w:p w14:paraId="3F1F81A9"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Объем инвестиций на душу населения,</w:t>
            </w:r>
          </w:p>
          <w:p w14:paraId="36BE049D"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 (в действующих ценах каждого года)</w:t>
            </w:r>
          </w:p>
        </w:tc>
        <w:tc>
          <w:tcPr>
            <w:tcW w:w="988" w:type="dxa"/>
            <w:vAlign w:val="center"/>
          </w:tcPr>
          <w:p w14:paraId="32C3DB2B"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тыс.</w:t>
            </w:r>
          </w:p>
          <w:p w14:paraId="1EBBDC30"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руб.</w:t>
            </w:r>
          </w:p>
        </w:tc>
        <w:tc>
          <w:tcPr>
            <w:tcW w:w="1311" w:type="dxa"/>
            <w:vAlign w:val="center"/>
          </w:tcPr>
          <w:p w14:paraId="27FACF91"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63,9</w:t>
            </w:r>
          </w:p>
        </w:tc>
        <w:tc>
          <w:tcPr>
            <w:tcW w:w="1116" w:type="dxa"/>
            <w:vAlign w:val="center"/>
          </w:tcPr>
          <w:p w14:paraId="5BF9B502"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64,2</w:t>
            </w:r>
          </w:p>
        </w:tc>
        <w:tc>
          <w:tcPr>
            <w:tcW w:w="1311" w:type="dxa"/>
            <w:vAlign w:val="center"/>
          </w:tcPr>
          <w:p w14:paraId="15A1E492"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63,0</w:t>
            </w:r>
          </w:p>
        </w:tc>
      </w:tr>
      <w:tr w:rsidR="004E7821" w:rsidRPr="0077776F" w14:paraId="2E8B19AF" w14:textId="77777777" w:rsidTr="004E7821">
        <w:tc>
          <w:tcPr>
            <w:tcW w:w="4609" w:type="dxa"/>
          </w:tcPr>
          <w:p w14:paraId="3917DF19"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14:paraId="63D68165"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(среди 16 регионов, кроме г. Москвы и Московской области)</w:t>
            </w:r>
          </w:p>
        </w:tc>
        <w:tc>
          <w:tcPr>
            <w:tcW w:w="988" w:type="dxa"/>
            <w:vAlign w:val="center"/>
          </w:tcPr>
          <w:p w14:paraId="372EEC30" w14:textId="77777777"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14:paraId="1E27C7E1"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w:t>
            </w:r>
          </w:p>
        </w:tc>
        <w:tc>
          <w:tcPr>
            <w:tcW w:w="1116" w:type="dxa"/>
            <w:vAlign w:val="center"/>
          </w:tcPr>
          <w:p w14:paraId="772BBF6D"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w:t>
            </w:r>
          </w:p>
        </w:tc>
        <w:tc>
          <w:tcPr>
            <w:tcW w:w="1311" w:type="dxa"/>
            <w:vAlign w:val="center"/>
          </w:tcPr>
          <w:p w14:paraId="645BBDBE" w14:textId="77777777"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х</w:t>
            </w:r>
          </w:p>
        </w:tc>
      </w:tr>
    </w:tbl>
    <w:p w14:paraId="29652B7D" w14:textId="77777777" w:rsidR="008916FB" w:rsidRPr="0077776F" w:rsidRDefault="008916FB">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4" w:name="Par1090"/>
      <w:bookmarkEnd w:id="4"/>
    </w:p>
    <w:p w14:paraId="294216E1" w14:textId="77777777" w:rsidR="00655DD5"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77776F">
        <w:rPr>
          <w:rFonts w:ascii="Times New Roman" w:hAnsi="Times New Roman" w:cs="Times New Roman"/>
          <w:sz w:val="24"/>
          <w:szCs w:val="24"/>
        </w:rPr>
        <w:t>Иностранные инвестиции</w:t>
      </w:r>
    </w:p>
    <w:p w14:paraId="67747F9E" w14:textId="77777777" w:rsidR="0021081C" w:rsidRPr="0077776F" w:rsidRDefault="008916FB" w:rsidP="008916FB">
      <w:pPr>
        <w:widowControl w:val="0"/>
        <w:autoSpaceDE w:val="0"/>
        <w:autoSpaceDN w:val="0"/>
        <w:adjustRightInd w:val="0"/>
        <w:spacing w:after="0" w:line="240" w:lineRule="auto"/>
        <w:ind w:right="-2"/>
        <w:jc w:val="right"/>
        <w:rPr>
          <w:rFonts w:ascii="Times New Roman" w:hAnsi="Times New Roman" w:cs="Times New Roman"/>
          <w:sz w:val="24"/>
          <w:szCs w:val="24"/>
        </w:rPr>
      </w:pPr>
      <w:r w:rsidRPr="0077776F">
        <w:rPr>
          <w:rFonts w:ascii="Times New Roman" w:hAnsi="Times New Roman" w:cs="Times New Roman"/>
          <w:sz w:val="24"/>
          <w:szCs w:val="24"/>
        </w:rPr>
        <w:t xml:space="preserve">  (</w:t>
      </w:r>
      <w:r w:rsidR="00655DD5" w:rsidRPr="0077776F">
        <w:rPr>
          <w:rFonts w:ascii="Times New Roman" w:hAnsi="Times New Roman" w:cs="Times New Roman"/>
          <w:sz w:val="24"/>
          <w:szCs w:val="24"/>
        </w:rPr>
        <w:t>млн. долларов</w:t>
      </w:r>
      <w:r w:rsidRPr="0077776F">
        <w:rPr>
          <w:rFonts w:ascii="Times New Roman" w:hAnsi="Times New Roman" w:cs="Times New Roman"/>
          <w:sz w:val="24"/>
          <w:szCs w:val="24"/>
        </w:rPr>
        <w:t>)</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710"/>
        <w:gridCol w:w="1338"/>
        <w:gridCol w:w="1339"/>
        <w:gridCol w:w="1338"/>
        <w:gridCol w:w="1339"/>
      </w:tblGrid>
      <w:tr w:rsidR="003219EF" w:rsidRPr="0077776F" w14:paraId="1A832C8B" w14:textId="77777777" w:rsidTr="008916FB">
        <w:trPr>
          <w:tblCellSpacing w:w="5" w:type="nil"/>
          <w:jc w:val="center"/>
        </w:trPr>
        <w:tc>
          <w:tcPr>
            <w:tcW w:w="3710" w:type="dxa"/>
            <w:tcBorders>
              <w:top w:val="single" w:sz="4" w:space="0" w:color="auto"/>
              <w:left w:val="single" w:sz="4" w:space="0" w:color="auto"/>
              <w:bottom w:val="single" w:sz="4" w:space="0" w:color="auto"/>
              <w:right w:val="single" w:sz="4" w:space="0" w:color="auto"/>
            </w:tcBorders>
          </w:tcPr>
          <w:p w14:paraId="7B50ADFB" w14:textId="77777777" w:rsidR="003219EF" w:rsidRPr="0077776F" w:rsidRDefault="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Показатель</w:t>
            </w:r>
            <w:r w:rsidR="003F73B0" w:rsidRPr="0077776F">
              <w:rPr>
                <w:rFonts w:ascii="Times New Roman" w:hAnsi="Times New Roman" w:cs="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tcPr>
          <w:p w14:paraId="612F715D" w14:textId="77777777"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2011 г</w:t>
            </w:r>
            <w:r w:rsidR="008916FB" w:rsidRPr="0077776F">
              <w:rPr>
                <w:rFonts w:ascii="Times New Roman" w:hAnsi="Times New Roman" w:cs="Times New Roman"/>
                <w:sz w:val="24"/>
                <w:szCs w:val="24"/>
              </w:rPr>
              <w:t>од</w:t>
            </w:r>
          </w:p>
        </w:tc>
        <w:tc>
          <w:tcPr>
            <w:tcW w:w="1339" w:type="dxa"/>
            <w:tcBorders>
              <w:top w:val="single" w:sz="4" w:space="0" w:color="auto"/>
              <w:left w:val="single" w:sz="4" w:space="0" w:color="auto"/>
              <w:bottom w:val="single" w:sz="4" w:space="0" w:color="auto"/>
              <w:right w:val="single" w:sz="4" w:space="0" w:color="auto"/>
            </w:tcBorders>
          </w:tcPr>
          <w:p w14:paraId="741CEE4C" w14:textId="77777777"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2012 г</w:t>
            </w:r>
            <w:r w:rsidR="008916FB" w:rsidRPr="0077776F">
              <w:rPr>
                <w:rFonts w:ascii="Times New Roman" w:hAnsi="Times New Roman" w:cs="Times New Roman"/>
                <w:sz w:val="24"/>
                <w:szCs w:val="24"/>
              </w:rPr>
              <w:t>од</w:t>
            </w:r>
          </w:p>
        </w:tc>
        <w:tc>
          <w:tcPr>
            <w:tcW w:w="1338" w:type="dxa"/>
            <w:tcBorders>
              <w:top w:val="single" w:sz="4" w:space="0" w:color="auto"/>
              <w:left w:val="single" w:sz="4" w:space="0" w:color="auto"/>
              <w:bottom w:val="single" w:sz="4" w:space="0" w:color="auto"/>
              <w:right w:val="single" w:sz="4" w:space="0" w:color="auto"/>
            </w:tcBorders>
          </w:tcPr>
          <w:p w14:paraId="14EEE0EF" w14:textId="77777777"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2013 г</w:t>
            </w:r>
            <w:r w:rsidR="008916FB" w:rsidRPr="0077776F">
              <w:rPr>
                <w:rFonts w:ascii="Times New Roman" w:hAnsi="Times New Roman" w:cs="Times New Roman"/>
                <w:sz w:val="24"/>
                <w:szCs w:val="24"/>
              </w:rPr>
              <w:t>од</w:t>
            </w:r>
          </w:p>
        </w:tc>
        <w:tc>
          <w:tcPr>
            <w:tcW w:w="1339" w:type="dxa"/>
            <w:tcBorders>
              <w:top w:val="single" w:sz="4" w:space="0" w:color="auto"/>
              <w:left w:val="single" w:sz="4" w:space="0" w:color="auto"/>
              <w:bottom w:val="single" w:sz="4" w:space="0" w:color="auto"/>
              <w:right w:val="single" w:sz="4" w:space="0" w:color="auto"/>
            </w:tcBorders>
          </w:tcPr>
          <w:p w14:paraId="2B37E61A" w14:textId="77777777"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2014 г</w:t>
            </w:r>
            <w:r w:rsidR="008916FB" w:rsidRPr="0077776F">
              <w:rPr>
                <w:rFonts w:ascii="Times New Roman" w:hAnsi="Times New Roman" w:cs="Times New Roman"/>
                <w:sz w:val="24"/>
                <w:szCs w:val="24"/>
              </w:rPr>
              <w:t>од</w:t>
            </w:r>
          </w:p>
        </w:tc>
      </w:tr>
      <w:tr w:rsidR="003219EF" w:rsidRPr="0077776F" w14:paraId="183B2AB7" w14:textId="77777777" w:rsidTr="008916FB">
        <w:trPr>
          <w:tblCellSpacing w:w="5" w:type="nil"/>
          <w:jc w:val="center"/>
        </w:trPr>
        <w:tc>
          <w:tcPr>
            <w:tcW w:w="3710" w:type="dxa"/>
            <w:tcBorders>
              <w:top w:val="single" w:sz="4" w:space="0" w:color="auto"/>
              <w:left w:val="single" w:sz="4" w:space="0" w:color="auto"/>
              <w:bottom w:val="single" w:sz="4" w:space="0" w:color="auto"/>
              <w:right w:val="single" w:sz="4" w:space="0" w:color="auto"/>
            </w:tcBorders>
          </w:tcPr>
          <w:p w14:paraId="355093B5" w14:textId="77777777" w:rsidR="003219EF" w:rsidRPr="0077776F" w:rsidRDefault="003219EF" w:rsidP="00655DD5">
            <w:pPr>
              <w:widowControl w:val="0"/>
              <w:autoSpaceDE w:val="0"/>
              <w:autoSpaceDN w:val="0"/>
              <w:adjustRightInd w:val="0"/>
              <w:spacing w:after="0" w:line="240" w:lineRule="auto"/>
              <w:rPr>
                <w:rFonts w:ascii="Times New Roman" w:hAnsi="Times New Roman" w:cs="Times New Roman"/>
                <w:sz w:val="24"/>
                <w:szCs w:val="24"/>
              </w:rPr>
            </w:pPr>
            <w:r w:rsidRPr="0077776F">
              <w:rPr>
                <w:rFonts w:ascii="Times New Roman" w:hAnsi="Times New Roman" w:cs="Times New Roman"/>
                <w:sz w:val="24"/>
                <w:szCs w:val="24"/>
              </w:rPr>
              <w:t xml:space="preserve">Поступило </w:t>
            </w:r>
            <w:r w:rsidR="003F73B0" w:rsidRPr="0077776F">
              <w:rPr>
                <w:rFonts w:ascii="Times New Roman" w:hAnsi="Times New Roman" w:cs="Times New Roman"/>
                <w:sz w:val="24"/>
                <w:szCs w:val="24"/>
              </w:rPr>
              <w:t xml:space="preserve">прямых </w:t>
            </w:r>
            <w:r w:rsidR="008916FB" w:rsidRPr="0077776F">
              <w:rPr>
                <w:rFonts w:ascii="Times New Roman" w:hAnsi="Times New Roman" w:cs="Times New Roman"/>
                <w:sz w:val="24"/>
                <w:szCs w:val="24"/>
              </w:rPr>
              <w:t>иностранных инвестиций</w:t>
            </w:r>
            <w:r w:rsidRPr="0077776F">
              <w:rPr>
                <w:rFonts w:ascii="Times New Roman" w:hAnsi="Times New Roman" w:cs="Times New Roman"/>
                <w:sz w:val="24"/>
                <w:szCs w:val="24"/>
              </w:rPr>
              <w:t xml:space="preserve"> </w:t>
            </w:r>
          </w:p>
        </w:tc>
        <w:tc>
          <w:tcPr>
            <w:tcW w:w="1338" w:type="dxa"/>
            <w:tcBorders>
              <w:top w:val="single" w:sz="4" w:space="0" w:color="auto"/>
              <w:left w:val="single" w:sz="4" w:space="0" w:color="auto"/>
              <w:bottom w:val="single" w:sz="4" w:space="0" w:color="auto"/>
              <w:right w:val="single" w:sz="4" w:space="0" w:color="auto"/>
            </w:tcBorders>
          </w:tcPr>
          <w:p w14:paraId="6F3F5DF8" w14:textId="77777777" w:rsidR="003219EF" w:rsidRPr="0077776F" w:rsidRDefault="003219EF" w:rsidP="007A49B5">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34,4</w:t>
            </w:r>
          </w:p>
        </w:tc>
        <w:tc>
          <w:tcPr>
            <w:tcW w:w="1339" w:type="dxa"/>
            <w:tcBorders>
              <w:top w:val="single" w:sz="4" w:space="0" w:color="auto"/>
              <w:left w:val="single" w:sz="4" w:space="0" w:color="auto"/>
              <w:bottom w:val="single" w:sz="4" w:space="0" w:color="auto"/>
              <w:right w:val="single" w:sz="4" w:space="0" w:color="auto"/>
            </w:tcBorders>
          </w:tcPr>
          <w:p w14:paraId="6D04DD6A" w14:textId="77777777" w:rsidR="003219EF" w:rsidRPr="0077776F" w:rsidRDefault="003219EF" w:rsidP="007A49B5">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161,7</w:t>
            </w:r>
          </w:p>
        </w:tc>
        <w:tc>
          <w:tcPr>
            <w:tcW w:w="1338" w:type="dxa"/>
            <w:tcBorders>
              <w:top w:val="single" w:sz="4" w:space="0" w:color="auto"/>
              <w:left w:val="single" w:sz="4" w:space="0" w:color="auto"/>
              <w:bottom w:val="single" w:sz="4" w:space="0" w:color="auto"/>
              <w:right w:val="single" w:sz="4" w:space="0" w:color="auto"/>
            </w:tcBorders>
          </w:tcPr>
          <w:p w14:paraId="6EAF221E" w14:textId="77777777" w:rsidR="003219EF" w:rsidRPr="0077776F" w:rsidRDefault="003219EF" w:rsidP="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167,7</w:t>
            </w:r>
          </w:p>
        </w:tc>
        <w:tc>
          <w:tcPr>
            <w:tcW w:w="1339" w:type="dxa"/>
            <w:tcBorders>
              <w:top w:val="single" w:sz="4" w:space="0" w:color="auto"/>
              <w:left w:val="single" w:sz="4" w:space="0" w:color="auto"/>
              <w:bottom w:val="single" w:sz="4" w:space="0" w:color="auto"/>
              <w:right w:val="single" w:sz="4" w:space="0" w:color="auto"/>
            </w:tcBorders>
          </w:tcPr>
          <w:p w14:paraId="4FBCC76B" w14:textId="77777777" w:rsidR="003219EF" w:rsidRPr="0077776F" w:rsidRDefault="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66,2</w:t>
            </w:r>
          </w:p>
        </w:tc>
      </w:tr>
    </w:tbl>
    <w:p w14:paraId="30E275F7" w14:textId="77777777" w:rsidR="0021081C" w:rsidRPr="0077776F" w:rsidRDefault="003F73B0" w:rsidP="003F73B0">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77776F">
        <w:rPr>
          <w:rFonts w:ascii="Times New Roman" w:hAnsi="Times New Roman" w:cs="Times New Roman"/>
          <w:i/>
          <w:sz w:val="24"/>
          <w:szCs w:val="24"/>
        </w:rPr>
        <w:t>Примеч</w:t>
      </w:r>
      <w:r w:rsidR="008916FB" w:rsidRPr="0077776F">
        <w:rPr>
          <w:rFonts w:ascii="Times New Roman" w:hAnsi="Times New Roman" w:cs="Times New Roman"/>
          <w:i/>
          <w:sz w:val="24"/>
          <w:szCs w:val="24"/>
        </w:rPr>
        <w:t>ание</w:t>
      </w:r>
      <w:r w:rsidRPr="0077776F">
        <w:rPr>
          <w:rFonts w:ascii="Times New Roman" w:hAnsi="Times New Roman" w:cs="Times New Roman"/>
          <w:i/>
          <w:sz w:val="24"/>
          <w:szCs w:val="24"/>
        </w:rPr>
        <w:t>:* Информация указана на основании данны</w:t>
      </w:r>
      <w:r w:rsidR="00655DD5" w:rsidRPr="0077776F">
        <w:rPr>
          <w:rFonts w:ascii="Times New Roman" w:hAnsi="Times New Roman" w:cs="Times New Roman"/>
          <w:i/>
          <w:sz w:val="24"/>
          <w:szCs w:val="24"/>
        </w:rPr>
        <w:t>х</w:t>
      </w:r>
      <w:r w:rsidRPr="0077776F">
        <w:rPr>
          <w:rFonts w:ascii="Times New Roman" w:hAnsi="Times New Roman" w:cs="Times New Roman"/>
          <w:i/>
          <w:sz w:val="24"/>
          <w:szCs w:val="24"/>
        </w:rPr>
        <w:t xml:space="preserve"> Центрального банка Российской Федерации</w:t>
      </w:r>
    </w:p>
    <w:p w14:paraId="7AD44324" w14:textId="77777777" w:rsidR="004E7821" w:rsidRPr="0077776F" w:rsidRDefault="004E7821">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C20C80B" w14:textId="77777777" w:rsidR="0021081C" w:rsidRPr="0077776F" w:rsidRDefault="00E16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w:t>
      </w:r>
      <w:r w:rsidR="00655DD5" w:rsidRPr="0077776F">
        <w:rPr>
          <w:rFonts w:ascii="Times New Roman" w:hAnsi="Times New Roman" w:cs="Times New Roman"/>
          <w:sz w:val="28"/>
          <w:szCs w:val="28"/>
        </w:rPr>
        <w:t xml:space="preserve"> 2013 год</w:t>
      </w:r>
      <w:r w:rsidRPr="0077776F">
        <w:rPr>
          <w:rFonts w:ascii="Times New Roman" w:hAnsi="Times New Roman" w:cs="Times New Roman"/>
          <w:sz w:val="28"/>
          <w:szCs w:val="28"/>
        </w:rPr>
        <w:t>а</w:t>
      </w:r>
      <w:r w:rsidR="00655DD5" w:rsidRPr="0077776F">
        <w:rPr>
          <w:rFonts w:ascii="Times New Roman" w:hAnsi="Times New Roman" w:cs="Times New Roman"/>
          <w:sz w:val="28"/>
          <w:szCs w:val="28"/>
        </w:rPr>
        <w:t xml:space="preserve"> о</w:t>
      </w:r>
      <w:r w:rsidR="0021081C" w:rsidRPr="0077776F">
        <w:rPr>
          <w:rFonts w:ascii="Times New Roman" w:hAnsi="Times New Roman" w:cs="Times New Roman"/>
          <w:sz w:val="28"/>
          <w:szCs w:val="28"/>
        </w:rPr>
        <w:t>тмечен поступательный рост иностранных инвестиций</w:t>
      </w:r>
      <w:r w:rsidR="00655DD5" w:rsidRPr="0077776F">
        <w:rPr>
          <w:rFonts w:ascii="Times New Roman" w:hAnsi="Times New Roman" w:cs="Times New Roman"/>
          <w:sz w:val="28"/>
          <w:szCs w:val="28"/>
        </w:rPr>
        <w:t>, в 2014 году уровень инвестиций снизился</w:t>
      </w:r>
      <w:r w:rsidR="0021081C" w:rsidRPr="0077776F">
        <w:rPr>
          <w:rFonts w:ascii="Times New Roman" w:hAnsi="Times New Roman" w:cs="Times New Roman"/>
          <w:sz w:val="28"/>
          <w:szCs w:val="28"/>
        </w:rPr>
        <w:t xml:space="preserve">. </w:t>
      </w:r>
    </w:p>
    <w:p w14:paraId="50A73386" w14:textId="77777777" w:rsidR="0021081C"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5" w:name="Par1119"/>
      <w:bookmarkEnd w:id="5"/>
    </w:p>
    <w:p w14:paraId="39707A3D" w14:textId="77777777" w:rsidR="0021081C" w:rsidRPr="0077776F" w:rsidRDefault="0021081C" w:rsidP="008916FB">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77776F">
        <w:rPr>
          <w:rFonts w:ascii="Times New Roman" w:hAnsi="Times New Roman" w:cs="Times New Roman"/>
          <w:sz w:val="24"/>
          <w:szCs w:val="24"/>
        </w:rPr>
        <w:t>Показатели инвестиций</w:t>
      </w:r>
    </w:p>
    <w:p w14:paraId="2B0E58D8" w14:textId="77777777" w:rsidR="0021081C" w:rsidRPr="0077776F" w:rsidRDefault="0021081C"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в основной капитал по муниципальным</w:t>
      </w:r>
      <w:r w:rsidR="00734F82" w:rsidRPr="0077776F">
        <w:rPr>
          <w:rFonts w:ascii="Times New Roman" w:hAnsi="Times New Roman" w:cs="Times New Roman"/>
          <w:sz w:val="24"/>
          <w:szCs w:val="24"/>
        </w:rPr>
        <w:t xml:space="preserve"> районам и городским округам </w:t>
      </w:r>
    </w:p>
    <w:p w14:paraId="60731269" w14:textId="77777777" w:rsidR="0021081C" w:rsidRPr="0077776F" w:rsidRDefault="0021081C"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Курской области за 20</w:t>
      </w:r>
      <w:r w:rsidR="00734F82" w:rsidRPr="0077776F">
        <w:rPr>
          <w:rFonts w:ascii="Times New Roman" w:hAnsi="Times New Roman" w:cs="Times New Roman"/>
          <w:sz w:val="24"/>
          <w:szCs w:val="24"/>
        </w:rPr>
        <w:t>11</w:t>
      </w:r>
      <w:r w:rsidRPr="0077776F">
        <w:rPr>
          <w:rFonts w:ascii="Times New Roman" w:hAnsi="Times New Roman" w:cs="Times New Roman"/>
          <w:sz w:val="24"/>
          <w:szCs w:val="24"/>
        </w:rPr>
        <w:t xml:space="preserve"> - 201</w:t>
      </w:r>
      <w:r w:rsidR="00734F82" w:rsidRPr="0077776F">
        <w:rPr>
          <w:rFonts w:ascii="Times New Roman" w:hAnsi="Times New Roman" w:cs="Times New Roman"/>
          <w:sz w:val="24"/>
          <w:szCs w:val="24"/>
        </w:rPr>
        <w:t>5</w:t>
      </w:r>
      <w:r w:rsidRPr="0077776F">
        <w:rPr>
          <w:rFonts w:ascii="Times New Roman" w:hAnsi="Times New Roman" w:cs="Times New Roman"/>
          <w:sz w:val="24"/>
          <w:szCs w:val="24"/>
        </w:rPr>
        <w:t xml:space="preserve"> годы</w:t>
      </w:r>
    </w:p>
    <w:p w14:paraId="39962BF9" w14:textId="77777777" w:rsidR="00734F82" w:rsidRPr="0077776F" w:rsidRDefault="00734F82"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 крупным и средним организациям)</w:t>
      </w:r>
    </w:p>
    <w:p w14:paraId="5121C387" w14:textId="77777777" w:rsidR="0021081C" w:rsidRPr="0077776F" w:rsidRDefault="00BB4721" w:rsidP="00BB4721">
      <w:pPr>
        <w:widowControl w:val="0"/>
        <w:autoSpaceDE w:val="0"/>
        <w:autoSpaceDN w:val="0"/>
        <w:adjustRightInd w:val="0"/>
        <w:spacing w:after="0" w:line="240" w:lineRule="auto"/>
        <w:ind w:right="139"/>
        <w:jc w:val="right"/>
        <w:rPr>
          <w:rFonts w:ascii="Times New Roman" w:hAnsi="Times New Roman" w:cs="Times New Roman"/>
          <w:sz w:val="24"/>
          <w:szCs w:val="24"/>
        </w:rPr>
      </w:pPr>
      <w:r w:rsidRPr="0077776F">
        <w:rPr>
          <w:rFonts w:ascii="Times New Roman" w:hAnsi="Times New Roman" w:cs="Times New Roman"/>
          <w:sz w:val="24"/>
          <w:szCs w:val="24"/>
        </w:rPr>
        <w:t xml:space="preserve">         (</w:t>
      </w:r>
      <w:r w:rsidR="0021081C" w:rsidRPr="0077776F">
        <w:rPr>
          <w:rFonts w:ascii="Times New Roman" w:hAnsi="Times New Roman" w:cs="Times New Roman"/>
          <w:sz w:val="24"/>
          <w:szCs w:val="24"/>
        </w:rPr>
        <w:t>млн. рублей</w:t>
      </w:r>
      <w:r w:rsidRPr="0077776F">
        <w:rPr>
          <w:rFonts w:ascii="Times New Roman" w:hAnsi="Times New Roman" w:cs="Times New Roman"/>
          <w:sz w:val="24"/>
          <w:szCs w:val="24"/>
        </w:rPr>
        <w:t>)</w:t>
      </w:r>
    </w:p>
    <w:tbl>
      <w:tblPr>
        <w:tblW w:w="0" w:type="auto"/>
        <w:tblCellSpacing w:w="5" w:type="nil"/>
        <w:tblInd w:w="2" w:type="dxa"/>
        <w:tblLayout w:type="fixed"/>
        <w:tblCellMar>
          <w:left w:w="75" w:type="dxa"/>
          <w:right w:w="75" w:type="dxa"/>
        </w:tblCellMar>
        <w:tblLook w:val="0000" w:firstRow="0" w:lastRow="0" w:firstColumn="0" w:lastColumn="0" w:noHBand="0" w:noVBand="0"/>
      </w:tblPr>
      <w:tblGrid>
        <w:gridCol w:w="2908"/>
        <w:gridCol w:w="1191"/>
        <w:gridCol w:w="1134"/>
        <w:gridCol w:w="1304"/>
        <w:gridCol w:w="1191"/>
        <w:gridCol w:w="1361"/>
      </w:tblGrid>
      <w:tr w:rsidR="00F258CA" w:rsidRPr="0077776F" w14:paraId="0B079074"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1756E43E"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Муниципальное образование</w:t>
            </w:r>
          </w:p>
        </w:tc>
        <w:tc>
          <w:tcPr>
            <w:tcW w:w="1191" w:type="dxa"/>
            <w:tcBorders>
              <w:top w:val="single" w:sz="4" w:space="0" w:color="auto"/>
              <w:left w:val="single" w:sz="4" w:space="0" w:color="auto"/>
              <w:bottom w:val="single" w:sz="4" w:space="0" w:color="auto"/>
              <w:right w:val="single" w:sz="4" w:space="0" w:color="auto"/>
            </w:tcBorders>
            <w:vAlign w:val="center"/>
          </w:tcPr>
          <w:p w14:paraId="7B7EDBF6" w14:textId="77777777"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2011 </w:t>
            </w:r>
          </w:p>
          <w:p w14:paraId="4CC96A79" w14:textId="77777777"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134" w:type="dxa"/>
            <w:tcBorders>
              <w:top w:val="single" w:sz="4" w:space="0" w:color="auto"/>
              <w:left w:val="single" w:sz="4" w:space="0" w:color="auto"/>
              <w:bottom w:val="single" w:sz="4" w:space="0" w:color="auto"/>
              <w:right w:val="single" w:sz="4" w:space="0" w:color="auto"/>
            </w:tcBorders>
            <w:vAlign w:val="center"/>
          </w:tcPr>
          <w:p w14:paraId="66067268" w14:textId="77777777"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2012 </w:t>
            </w:r>
          </w:p>
          <w:p w14:paraId="205FE071" w14:textId="77777777"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304" w:type="dxa"/>
            <w:tcBorders>
              <w:top w:val="single" w:sz="4" w:space="0" w:color="auto"/>
              <w:left w:val="single" w:sz="4" w:space="0" w:color="auto"/>
              <w:bottom w:val="single" w:sz="4" w:space="0" w:color="auto"/>
              <w:right w:val="single" w:sz="4" w:space="0" w:color="auto"/>
            </w:tcBorders>
            <w:vAlign w:val="center"/>
          </w:tcPr>
          <w:p w14:paraId="19320EAB" w14:textId="77777777"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2013 </w:t>
            </w:r>
          </w:p>
          <w:p w14:paraId="306971C4" w14:textId="77777777"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191" w:type="dxa"/>
            <w:tcBorders>
              <w:top w:val="single" w:sz="4" w:space="0" w:color="auto"/>
              <w:left w:val="single" w:sz="4" w:space="0" w:color="auto"/>
              <w:bottom w:val="single" w:sz="4" w:space="0" w:color="auto"/>
              <w:right w:val="single" w:sz="4" w:space="0" w:color="auto"/>
            </w:tcBorders>
            <w:vAlign w:val="center"/>
          </w:tcPr>
          <w:p w14:paraId="583E3628" w14:textId="77777777"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2014 </w:t>
            </w:r>
          </w:p>
          <w:p w14:paraId="65B08115" w14:textId="77777777"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361" w:type="dxa"/>
            <w:tcBorders>
              <w:top w:val="single" w:sz="4" w:space="0" w:color="auto"/>
              <w:left w:val="single" w:sz="4" w:space="0" w:color="auto"/>
              <w:bottom w:val="single" w:sz="4" w:space="0" w:color="auto"/>
              <w:right w:val="single" w:sz="4" w:space="0" w:color="auto"/>
            </w:tcBorders>
            <w:vAlign w:val="center"/>
          </w:tcPr>
          <w:p w14:paraId="3F54F9B1" w14:textId="77777777"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2015 </w:t>
            </w:r>
          </w:p>
          <w:p w14:paraId="39FBC6D4" w14:textId="77777777"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r>
      <w:tr w:rsidR="00F258CA" w:rsidRPr="0077776F" w14:paraId="17C00672"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3C3D7906"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Беловский</w:t>
            </w:r>
          </w:p>
        </w:tc>
        <w:tc>
          <w:tcPr>
            <w:tcW w:w="1191" w:type="dxa"/>
            <w:tcBorders>
              <w:top w:val="single" w:sz="4" w:space="0" w:color="auto"/>
              <w:left w:val="single" w:sz="4" w:space="0" w:color="auto"/>
              <w:bottom w:val="single" w:sz="4" w:space="0" w:color="auto"/>
              <w:right w:val="single" w:sz="4" w:space="0" w:color="auto"/>
            </w:tcBorders>
            <w:vAlign w:val="center"/>
          </w:tcPr>
          <w:p w14:paraId="1D58AE94"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375,3</w:t>
            </w:r>
          </w:p>
        </w:tc>
        <w:tc>
          <w:tcPr>
            <w:tcW w:w="1134" w:type="dxa"/>
            <w:tcBorders>
              <w:top w:val="single" w:sz="4" w:space="0" w:color="auto"/>
              <w:left w:val="single" w:sz="4" w:space="0" w:color="auto"/>
              <w:bottom w:val="single" w:sz="4" w:space="0" w:color="auto"/>
              <w:right w:val="single" w:sz="4" w:space="0" w:color="auto"/>
            </w:tcBorders>
            <w:vAlign w:val="center"/>
          </w:tcPr>
          <w:p w14:paraId="6E2E1D9C"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798,9</w:t>
            </w:r>
          </w:p>
        </w:tc>
        <w:tc>
          <w:tcPr>
            <w:tcW w:w="1304" w:type="dxa"/>
            <w:tcBorders>
              <w:top w:val="single" w:sz="4" w:space="0" w:color="auto"/>
              <w:left w:val="single" w:sz="4" w:space="0" w:color="auto"/>
              <w:bottom w:val="single" w:sz="4" w:space="0" w:color="auto"/>
              <w:right w:val="single" w:sz="4" w:space="0" w:color="auto"/>
            </w:tcBorders>
            <w:vAlign w:val="center"/>
          </w:tcPr>
          <w:p w14:paraId="7A32CC33"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976,4</w:t>
            </w:r>
          </w:p>
        </w:tc>
        <w:tc>
          <w:tcPr>
            <w:tcW w:w="1191" w:type="dxa"/>
            <w:tcBorders>
              <w:top w:val="single" w:sz="4" w:space="0" w:color="auto"/>
              <w:left w:val="single" w:sz="4" w:space="0" w:color="auto"/>
              <w:bottom w:val="single" w:sz="4" w:space="0" w:color="auto"/>
              <w:right w:val="single" w:sz="4" w:space="0" w:color="auto"/>
            </w:tcBorders>
            <w:vAlign w:val="center"/>
          </w:tcPr>
          <w:p w14:paraId="09D0BB57"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522,4</w:t>
            </w:r>
          </w:p>
        </w:tc>
        <w:tc>
          <w:tcPr>
            <w:tcW w:w="1361" w:type="dxa"/>
            <w:tcBorders>
              <w:top w:val="single" w:sz="4" w:space="0" w:color="auto"/>
              <w:left w:val="single" w:sz="4" w:space="0" w:color="auto"/>
              <w:bottom w:val="single" w:sz="4" w:space="0" w:color="auto"/>
              <w:right w:val="single" w:sz="4" w:space="0" w:color="auto"/>
            </w:tcBorders>
            <w:vAlign w:val="center"/>
          </w:tcPr>
          <w:p w14:paraId="27AFA0FE"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254,6</w:t>
            </w:r>
          </w:p>
        </w:tc>
      </w:tr>
      <w:tr w:rsidR="00F258CA" w:rsidRPr="0077776F" w14:paraId="654FDB8D"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3CC3F28B"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Большесолдатский</w:t>
            </w:r>
          </w:p>
        </w:tc>
        <w:tc>
          <w:tcPr>
            <w:tcW w:w="1191" w:type="dxa"/>
            <w:tcBorders>
              <w:top w:val="single" w:sz="4" w:space="0" w:color="auto"/>
              <w:left w:val="single" w:sz="4" w:space="0" w:color="auto"/>
              <w:bottom w:val="single" w:sz="4" w:space="0" w:color="auto"/>
              <w:right w:val="single" w:sz="4" w:space="0" w:color="auto"/>
            </w:tcBorders>
            <w:vAlign w:val="center"/>
          </w:tcPr>
          <w:p w14:paraId="443CA200"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157,9</w:t>
            </w:r>
          </w:p>
        </w:tc>
        <w:tc>
          <w:tcPr>
            <w:tcW w:w="1134" w:type="dxa"/>
            <w:tcBorders>
              <w:top w:val="single" w:sz="4" w:space="0" w:color="auto"/>
              <w:left w:val="single" w:sz="4" w:space="0" w:color="auto"/>
              <w:bottom w:val="single" w:sz="4" w:space="0" w:color="auto"/>
              <w:right w:val="single" w:sz="4" w:space="0" w:color="auto"/>
            </w:tcBorders>
            <w:vAlign w:val="center"/>
          </w:tcPr>
          <w:p w14:paraId="651FBC3B"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977,8</w:t>
            </w:r>
          </w:p>
        </w:tc>
        <w:tc>
          <w:tcPr>
            <w:tcW w:w="1304" w:type="dxa"/>
            <w:tcBorders>
              <w:top w:val="single" w:sz="4" w:space="0" w:color="auto"/>
              <w:left w:val="single" w:sz="4" w:space="0" w:color="auto"/>
              <w:bottom w:val="single" w:sz="4" w:space="0" w:color="auto"/>
              <w:right w:val="single" w:sz="4" w:space="0" w:color="auto"/>
            </w:tcBorders>
            <w:vAlign w:val="center"/>
          </w:tcPr>
          <w:p w14:paraId="0D85024C"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456,3</w:t>
            </w:r>
          </w:p>
        </w:tc>
        <w:tc>
          <w:tcPr>
            <w:tcW w:w="1191" w:type="dxa"/>
            <w:tcBorders>
              <w:top w:val="single" w:sz="4" w:space="0" w:color="auto"/>
              <w:left w:val="single" w:sz="4" w:space="0" w:color="auto"/>
              <w:bottom w:val="single" w:sz="4" w:space="0" w:color="auto"/>
              <w:right w:val="single" w:sz="4" w:space="0" w:color="auto"/>
            </w:tcBorders>
            <w:vAlign w:val="center"/>
          </w:tcPr>
          <w:p w14:paraId="42B5CF70"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152,3</w:t>
            </w:r>
          </w:p>
        </w:tc>
        <w:tc>
          <w:tcPr>
            <w:tcW w:w="1361" w:type="dxa"/>
            <w:tcBorders>
              <w:top w:val="single" w:sz="4" w:space="0" w:color="auto"/>
              <w:left w:val="single" w:sz="4" w:space="0" w:color="auto"/>
              <w:bottom w:val="single" w:sz="4" w:space="0" w:color="auto"/>
              <w:right w:val="single" w:sz="4" w:space="0" w:color="auto"/>
            </w:tcBorders>
            <w:vAlign w:val="center"/>
          </w:tcPr>
          <w:p w14:paraId="53E3CD82"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363,5</w:t>
            </w:r>
          </w:p>
        </w:tc>
      </w:tr>
      <w:tr w:rsidR="00F258CA" w:rsidRPr="0077776F" w14:paraId="529EA9B3"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43A69C92"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Глушковский</w:t>
            </w:r>
          </w:p>
        </w:tc>
        <w:tc>
          <w:tcPr>
            <w:tcW w:w="1191" w:type="dxa"/>
            <w:tcBorders>
              <w:top w:val="single" w:sz="4" w:space="0" w:color="auto"/>
              <w:left w:val="single" w:sz="4" w:space="0" w:color="auto"/>
              <w:bottom w:val="single" w:sz="4" w:space="0" w:color="auto"/>
              <w:right w:val="single" w:sz="4" w:space="0" w:color="auto"/>
            </w:tcBorders>
            <w:vAlign w:val="center"/>
          </w:tcPr>
          <w:p w14:paraId="69D1598A"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616,1</w:t>
            </w:r>
          </w:p>
        </w:tc>
        <w:tc>
          <w:tcPr>
            <w:tcW w:w="1134" w:type="dxa"/>
            <w:tcBorders>
              <w:top w:val="single" w:sz="4" w:space="0" w:color="auto"/>
              <w:left w:val="single" w:sz="4" w:space="0" w:color="auto"/>
              <w:bottom w:val="single" w:sz="4" w:space="0" w:color="auto"/>
              <w:right w:val="single" w:sz="4" w:space="0" w:color="auto"/>
            </w:tcBorders>
            <w:vAlign w:val="center"/>
          </w:tcPr>
          <w:p w14:paraId="1F64EE6F"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686,7</w:t>
            </w:r>
          </w:p>
        </w:tc>
        <w:tc>
          <w:tcPr>
            <w:tcW w:w="1304" w:type="dxa"/>
            <w:tcBorders>
              <w:top w:val="single" w:sz="4" w:space="0" w:color="auto"/>
              <w:left w:val="single" w:sz="4" w:space="0" w:color="auto"/>
              <w:bottom w:val="single" w:sz="4" w:space="0" w:color="auto"/>
              <w:right w:val="single" w:sz="4" w:space="0" w:color="auto"/>
            </w:tcBorders>
            <w:vAlign w:val="center"/>
          </w:tcPr>
          <w:p w14:paraId="7E1BCFFE"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419,4</w:t>
            </w:r>
          </w:p>
        </w:tc>
        <w:tc>
          <w:tcPr>
            <w:tcW w:w="1191" w:type="dxa"/>
            <w:tcBorders>
              <w:top w:val="single" w:sz="4" w:space="0" w:color="auto"/>
              <w:left w:val="single" w:sz="4" w:space="0" w:color="auto"/>
              <w:bottom w:val="single" w:sz="4" w:space="0" w:color="auto"/>
              <w:right w:val="single" w:sz="4" w:space="0" w:color="auto"/>
            </w:tcBorders>
            <w:vAlign w:val="center"/>
          </w:tcPr>
          <w:p w14:paraId="0C0741E8"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372,7</w:t>
            </w:r>
          </w:p>
        </w:tc>
        <w:tc>
          <w:tcPr>
            <w:tcW w:w="1361" w:type="dxa"/>
            <w:tcBorders>
              <w:top w:val="single" w:sz="4" w:space="0" w:color="auto"/>
              <w:left w:val="single" w:sz="4" w:space="0" w:color="auto"/>
              <w:bottom w:val="single" w:sz="4" w:space="0" w:color="auto"/>
              <w:right w:val="single" w:sz="4" w:space="0" w:color="auto"/>
            </w:tcBorders>
            <w:vAlign w:val="center"/>
          </w:tcPr>
          <w:p w14:paraId="0D7813DC"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512,4</w:t>
            </w:r>
          </w:p>
        </w:tc>
      </w:tr>
      <w:tr w:rsidR="00F258CA" w:rsidRPr="0077776F" w14:paraId="4C7CCCCD"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2BE11C82"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Горшеченский</w:t>
            </w:r>
          </w:p>
        </w:tc>
        <w:tc>
          <w:tcPr>
            <w:tcW w:w="1191" w:type="dxa"/>
            <w:tcBorders>
              <w:top w:val="single" w:sz="4" w:space="0" w:color="auto"/>
              <w:left w:val="single" w:sz="4" w:space="0" w:color="auto"/>
              <w:bottom w:val="single" w:sz="4" w:space="0" w:color="auto"/>
              <w:right w:val="single" w:sz="4" w:space="0" w:color="auto"/>
            </w:tcBorders>
            <w:vAlign w:val="center"/>
          </w:tcPr>
          <w:p w14:paraId="760F70F4"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5802,0</w:t>
            </w:r>
          </w:p>
        </w:tc>
        <w:tc>
          <w:tcPr>
            <w:tcW w:w="1134" w:type="dxa"/>
            <w:tcBorders>
              <w:top w:val="single" w:sz="4" w:space="0" w:color="auto"/>
              <w:left w:val="single" w:sz="4" w:space="0" w:color="auto"/>
              <w:bottom w:val="single" w:sz="4" w:space="0" w:color="auto"/>
              <w:right w:val="single" w:sz="4" w:space="0" w:color="auto"/>
            </w:tcBorders>
            <w:vAlign w:val="center"/>
          </w:tcPr>
          <w:p w14:paraId="496D36A7"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4419,3</w:t>
            </w:r>
          </w:p>
        </w:tc>
        <w:tc>
          <w:tcPr>
            <w:tcW w:w="1304" w:type="dxa"/>
            <w:tcBorders>
              <w:top w:val="single" w:sz="4" w:space="0" w:color="auto"/>
              <w:left w:val="single" w:sz="4" w:space="0" w:color="auto"/>
              <w:bottom w:val="single" w:sz="4" w:space="0" w:color="auto"/>
              <w:right w:val="single" w:sz="4" w:space="0" w:color="auto"/>
            </w:tcBorders>
            <w:vAlign w:val="center"/>
          </w:tcPr>
          <w:p w14:paraId="7DD681CD"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3657,9</w:t>
            </w:r>
          </w:p>
        </w:tc>
        <w:tc>
          <w:tcPr>
            <w:tcW w:w="1191" w:type="dxa"/>
            <w:tcBorders>
              <w:top w:val="single" w:sz="4" w:space="0" w:color="auto"/>
              <w:left w:val="single" w:sz="4" w:space="0" w:color="auto"/>
              <w:bottom w:val="single" w:sz="4" w:space="0" w:color="auto"/>
              <w:right w:val="single" w:sz="4" w:space="0" w:color="auto"/>
            </w:tcBorders>
            <w:vAlign w:val="center"/>
          </w:tcPr>
          <w:p w14:paraId="293E8D36"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1360,7</w:t>
            </w:r>
          </w:p>
        </w:tc>
        <w:tc>
          <w:tcPr>
            <w:tcW w:w="1361" w:type="dxa"/>
            <w:tcBorders>
              <w:top w:val="single" w:sz="4" w:space="0" w:color="auto"/>
              <w:left w:val="single" w:sz="4" w:space="0" w:color="auto"/>
              <w:bottom w:val="single" w:sz="4" w:space="0" w:color="auto"/>
              <w:right w:val="single" w:sz="4" w:space="0" w:color="auto"/>
            </w:tcBorders>
            <w:vAlign w:val="center"/>
          </w:tcPr>
          <w:p w14:paraId="5FBC0E48"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387,7</w:t>
            </w:r>
          </w:p>
        </w:tc>
      </w:tr>
      <w:tr w:rsidR="00F258CA" w:rsidRPr="0077776F" w14:paraId="0C6FAC07"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6AC9BCD8"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Дмитриевский</w:t>
            </w:r>
          </w:p>
        </w:tc>
        <w:tc>
          <w:tcPr>
            <w:tcW w:w="1191" w:type="dxa"/>
            <w:tcBorders>
              <w:top w:val="single" w:sz="4" w:space="0" w:color="auto"/>
              <w:left w:val="single" w:sz="4" w:space="0" w:color="auto"/>
              <w:bottom w:val="single" w:sz="4" w:space="0" w:color="auto"/>
              <w:right w:val="single" w:sz="4" w:space="0" w:color="auto"/>
            </w:tcBorders>
            <w:vAlign w:val="center"/>
          </w:tcPr>
          <w:p w14:paraId="585EABA5"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263,9</w:t>
            </w:r>
          </w:p>
        </w:tc>
        <w:tc>
          <w:tcPr>
            <w:tcW w:w="1134" w:type="dxa"/>
            <w:tcBorders>
              <w:top w:val="single" w:sz="4" w:space="0" w:color="auto"/>
              <w:left w:val="single" w:sz="4" w:space="0" w:color="auto"/>
              <w:bottom w:val="single" w:sz="4" w:space="0" w:color="auto"/>
              <w:right w:val="single" w:sz="4" w:space="0" w:color="auto"/>
            </w:tcBorders>
            <w:vAlign w:val="center"/>
          </w:tcPr>
          <w:p w14:paraId="42EBB87A"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2167,8</w:t>
            </w:r>
          </w:p>
        </w:tc>
        <w:tc>
          <w:tcPr>
            <w:tcW w:w="1304" w:type="dxa"/>
            <w:tcBorders>
              <w:top w:val="single" w:sz="4" w:space="0" w:color="auto"/>
              <w:left w:val="single" w:sz="4" w:space="0" w:color="auto"/>
              <w:bottom w:val="single" w:sz="4" w:space="0" w:color="auto"/>
              <w:right w:val="single" w:sz="4" w:space="0" w:color="auto"/>
            </w:tcBorders>
            <w:vAlign w:val="center"/>
          </w:tcPr>
          <w:p w14:paraId="6810EA7F"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643,2</w:t>
            </w:r>
          </w:p>
        </w:tc>
        <w:tc>
          <w:tcPr>
            <w:tcW w:w="1191" w:type="dxa"/>
            <w:tcBorders>
              <w:top w:val="single" w:sz="4" w:space="0" w:color="auto"/>
              <w:left w:val="single" w:sz="4" w:space="0" w:color="auto"/>
              <w:bottom w:val="single" w:sz="4" w:space="0" w:color="auto"/>
              <w:right w:val="single" w:sz="4" w:space="0" w:color="auto"/>
            </w:tcBorders>
            <w:vAlign w:val="center"/>
          </w:tcPr>
          <w:p w14:paraId="6C010398"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216,8</w:t>
            </w:r>
          </w:p>
        </w:tc>
        <w:tc>
          <w:tcPr>
            <w:tcW w:w="1361" w:type="dxa"/>
            <w:tcBorders>
              <w:top w:val="single" w:sz="4" w:space="0" w:color="auto"/>
              <w:left w:val="single" w:sz="4" w:space="0" w:color="auto"/>
              <w:bottom w:val="single" w:sz="4" w:space="0" w:color="auto"/>
              <w:right w:val="single" w:sz="4" w:space="0" w:color="auto"/>
            </w:tcBorders>
            <w:vAlign w:val="center"/>
          </w:tcPr>
          <w:p w14:paraId="7DF3C8EA"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1156,0</w:t>
            </w:r>
          </w:p>
        </w:tc>
      </w:tr>
      <w:tr w:rsidR="00F258CA" w:rsidRPr="0077776F" w14:paraId="3900EE6C"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33273520"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Железногорский</w:t>
            </w:r>
          </w:p>
        </w:tc>
        <w:tc>
          <w:tcPr>
            <w:tcW w:w="1191" w:type="dxa"/>
            <w:tcBorders>
              <w:top w:val="single" w:sz="4" w:space="0" w:color="auto"/>
              <w:left w:val="single" w:sz="4" w:space="0" w:color="auto"/>
              <w:bottom w:val="single" w:sz="4" w:space="0" w:color="auto"/>
              <w:right w:val="single" w:sz="4" w:space="0" w:color="auto"/>
            </w:tcBorders>
            <w:vAlign w:val="center"/>
          </w:tcPr>
          <w:p w14:paraId="022DE964"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1024,8</w:t>
            </w:r>
          </w:p>
        </w:tc>
        <w:tc>
          <w:tcPr>
            <w:tcW w:w="1134" w:type="dxa"/>
            <w:tcBorders>
              <w:top w:val="single" w:sz="4" w:space="0" w:color="auto"/>
              <w:left w:val="single" w:sz="4" w:space="0" w:color="auto"/>
              <w:bottom w:val="single" w:sz="4" w:space="0" w:color="auto"/>
              <w:right w:val="single" w:sz="4" w:space="0" w:color="auto"/>
            </w:tcBorders>
            <w:vAlign w:val="center"/>
          </w:tcPr>
          <w:p w14:paraId="365F4FDC"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320,7</w:t>
            </w:r>
          </w:p>
        </w:tc>
        <w:tc>
          <w:tcPr>
            <w:tcW w:w="1304" w:type="dxa"/>
            <w:tcBorders>
              <w:top w:val="single" w:sz="4" w:space="0" w:color="auto"/>
              <w:left w:val="single" w:sz="4" w:space="0" w:color="auto"/>
              <w:bottom w:val="single" w:sz="4" w:space="0" w:color="auto"/>
              <w:right w:val="single" w:sz="4" w:space="0" w:color="auto"/>
            </w:tcBorders>
            <w:vAlign w:val="center"/>
          </w:tcPr>
          <w:p w14:paraId="01877D0D"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577,4</w:t>
            </w:r>
          </w:p>
        </w:tc>
        <w:tc>
          <w:tcPr>
            <w:tcW w:w="1191" w:type="dxa"/>
            <w:tcBorders>
              <w:top w:val="single" w:sz="4" w:space="0" w:color="auto"/>
              <w:left w:val="single" w:sz="4" w:space="0" w:color="auto"/>
              <w:bottom w:val="single" w:sz="4" w:space="0" w:color="auto"/>
              <w:right w:val="single" w:sz="4" w:space="0" w:color="auto"/>
            </w:tcBorders>
            <w:vAlign w:val="center"/>
          </w:tcPr>
          <w:p w14:paraId="45D502D6"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2130,8</w:t>
            </w:r>
          </w:p>
        </w:tc>
        <w:tc>
          <w:tcPr>
            <w:tcW w:w="1361" w:type="dxa"/>
            <w:tcBorders>
              <w:top w:val="single" w:sz="4" w:space="0" w:color="auto"/>
              <w:left w:val="single" w:sz="4" w:space="0" w:color="auto"/>
              <w:bottom w:val="single" w:sz="4" w:space="0" w:color="auto"/>
              <w:right w:val="single" w:sz="4" w:space="0" w:color="auto"/>
            </w:tcBorders>
            <w:vAlign w:val="center"/>
          </w:tcPr>
          <w:p w14:paraId="17DA9E8B"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4654,4</w:t>
            </w:r>
          </w:p>
        </w:tc>
      </w:tr>
      <w:tr w:rsidR="00F258CA" w:rsidRPr="0077776F" w14:paraId="76F26EBC"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73C77A5A"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Золотухинский</w:t>
            </w:r>
          </w:p>
        </w:tc>
        <w:tc>
          <w:tcPr>
            <w:tcW w:w="1191" w:type="dxa"/>
            <w:tcBorders>
              <w:top w:val="single" w:sz="4" w:space="0" w:color="auto"/>
              <w:left w:val="single" w:sz="4" w:space="0" w:color="auto"/>
              <w:bottom w:val="single" w:sz="4" w:space="0" w:color="auto"/>
              <w:right w:val="single" w:sz="4" w:space="0" w:color="auto"/>
            </w:tcBorders>
            <w:vAlign w:val="center"/>
          </w:tcPr>
          <w:p w14:paraId="46ADB5B9"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287,7</w:t>
            </w:r>
          </w:p>
        </w:tc>
        <w:tc>
          <w:tcPr>
            <w:tcW w:w="1134" w:type="dxa"/>
            <w:tcBorders>
              <w:top w:val="single" w:sz="4" w:space="0" w:color="auto"/>
              <w:left w:val="single" w:sz="4" w:space="0" w:color="auto"/>
              <w:bottom w:val="single" w:sz="4" w:space="0" w:color="auto"/>
              <w:right w:val="single" w:sz="4" w:space="0" w:color="auto"/>
            </w:tcBorders>
            <w:vAlign w:val="center"/>
          </w:tcPr>
          <w:p w14:paraId="11214AC2"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1100,7</w:t>
            </w:r>
          </w:p>
        </w:tc>
        <w:tc>
          <w:tcPr>
            <w:tcW w:w="1304" w:type="dxa"/>
            <w:tcBorders>
              <w:top w:val="single" w:sz="4" w:space="0" w:color="auto"/>
              <w:left w:val="single" w:sz="4" w:space="0" w:color="auto"/>
              <w:bottom w:val="single" w:sz="4" w:space="0" w:color="auto"/>
              <w:right w:val="single" w:sz="4" w:space="0" w:color="auto"/>
            </w:tcBorders>
            <w:vAlign w:val="center"/>
          </w:tcPr>
          <w:p w14:paraId="453DB211"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1519,6</w:t>
            </w:r>
          </w:p>
        </w:tc>
        <w:tc>
          <w:tcPr>
            <w:tcW w:w="1191" w:type="dxa"/>
            <w:tcBorders>
              <w:top w:val="single" w:sz="4" w:space="0" w:color="auto"/>
              <w:left w:val="single" w:sz="4" w:space="0" w:color="auto"/>
              <w:bottom w:val="single" w:sz="4" w:space="0" w:color="auto"/>
              <w:right w:val="single" w:sz="4" w:space="0" w:color="auto"/>
            </w:tcBorders>
            <w:vAlign w:val="center"/>
          </w:tcPr>
          <w:p w14:paraId="6AE51BDA"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549,1</w:t>
            </w:r>
          </w:p>
        </w:tc>
        <w:tc>
          <w:tcPr>
            <w:tcW w:w="1361" w:type="dxa"/>
            <w:tcBorders>
              <w:top w:val="single" w:sz="4" w:space="0" w:color="auto"/>
              <w:left w:val="single" w:sz="4" w:space="0" w:color="auto"/>
              <w:bottom w:val="single" w:sz="4" w:space="0" w:color="auto"/>
              <w:right w:val="single" w:sz="4" w:space="0" w:color="auto"/>
            </w:tcBorders>
            <w:vAlign w:val="center"/>
          </w:tcPr>
          <w:p w14:paraId="726A66B0"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364,2</w:t>
            </w:r>
          </w:p>
        </w:tc>
      </w:tr>
      <w:tr w:rsidR="00F258CA" w:rsidRPr="0077776F" w14:paraId="5DC8BCCE"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4D8F2BCA"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Касторенский</w:t>
            </w:r>
          </w:p>
        </w:tc>
        <w:tc>
          <w:tcPr>
            <w:tcW w:w="1191" w:type="dxa"/>
            <w:tcBorders>
              <w:top w:val="single" w:sz="4" w:space="0" w:color="auto"/>
              <w:left w:val="single" w:sz="4" w:space="0" w:color="auto"/>
              <w:bottom w:val="single" w:sz="4" w:space="0" w:color="auto"/>
              <w:right w:val="single" w:sz="4" w:space="0" w:color="auto"/>
            </w:tcBorders>
            <w:vAlign w:val="center"/>
          </w:tcPr>
          <w:p w14:paraId="088FCA37"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259,3</w:t>
            </w:r>
          </w:p>
        </w:tc>
        <w:tc>
          <w:tcPr>
            <w:tcW w:w="1134" w:type="dxa"/>
            <w:tcBorders>
              <w:top w:val="single" w:sz="4" w:space="0" w:color="auto"/>
              <w:left w:val="single" w:sz="4" w:space="0" w:color="auto"/>
              <w:bottom w:val="single" w:sz="4" w:space="0" w:color="auto"/>
              <w:right w:val="single" w:sz="4" w:space="0" w:color="auto"/>
            </w:tcBorders>
            <w:vAlign w:val="center"/>
          </w:tcPr>
          <w:p w14:paraId="0F4D4DB1"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498,9</w:t>
            </w:r>
          </w:p>
        </w:tc>
        <w:tc>
          <w:tcPr>
            <w:tcW w:w="1304" w:type="dxa"/>
            <w:tcBorders>
              <w:top w:val="single" w:sz="4" w:space="0" w:color="auto"/>
              <w:left w:val="single" w:sz="4" w:space="0" w:color="auto"/>
              <w:bottom w:val="single" w:sz="4" w:space="0" w:color="auto"/>
              <w:right w:val="single" w:sz="4" w:space="0" w:color="auto"/>
            </w:tcBorders>
            <w:vAlign w:val="center"/>
          </w:tcPr>
          <w:p w14:paraId="23AA2B23"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457,3</w:t>
            </w:r>
          </w:p>
        </w:tc>
        <w:tc>
          <w:tcPr>
            <w:tcW w:w="1191" w:type="dxa"/>
            <w:tcBorders>
              <w:top w:val="single" w:sz="4" w:space="0" w:color="auto"/>
              <w:left w:val="single" w:sz="4" w:space="0" w:color="auto"/>
              <w:bottom w:val="single" w:sz="4" w:space="0" w:color="auto"/>
              <w:right w:val="single" w:sz="4" w:space="0" w:color="auto"/>
            </w:tcBorders>
            <w:vAlign w:val="center"/>
          </w:tcPr>
          <w:p w14:paraId="52459B28"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435,6</w:t>
            </w:r>
          </w:p>
        </w:tc>
        <w:tc>
          <w:tcPr>
            <w:tcW w:w="1361" w:type="dxa"/>
            <w:tcBorders>
              <w:top w:val="single" w:sz="4" w:space="0" w:color="auto"/>
              <w:left w:val="single" w:sz="4" w:space="0" w:color="auto"/>
              <w:bottom w:val="single" w:sz="4" w:space="0" w:color="auto"/>
              <w:right w:val="single" w:sz="4" w:space="0" w:color="auto"/>
            </w:tcBorders>
            <w:vAlign w:val="center"/>
          </w:tcPr>
          <w:p w14:paraId="535E2545"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232,5</w:t>
            </w:r>
          </w:p>
        </w:tc>
      </w:tr>
      <w:tr w:rsidR="00F258CA" w:rsidRPr="0077776F" w14:paraId="54578CD5"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79000486"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Конышевский</w:t>
            </w:r>
          </w:p>
        </w:tc>
        <w:tc>
          <w:tcPr>
            <w:tcW w:w="1191" w:type="dxa"/>
            <w:tcBorders>
              <w:top w:val="single" w:sz="4" w:space="0" w:color="auto"/>
              <w:left w:val="single" w:sz="4" w:space="0" w:color="auto"/>
              <w:bottom w:val="single" w:sz="4" w:space="0" w:color="auto"/>
              <w:right w:val="single" w:sz="4" w:space="0" w:color="auto"/>
            </w:tcBorders>
            <w:vAlign w:val="center"/>
          </w:tcPr>
          <w:p w14:paraId="10BA72C8"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2585,2</w:t>
            </w:r>
          </w:p>
        </w:tc>
        <w:tc>
          <w:tcPr>
            <w:tcW w:w="1134" w:type="dxa"/>
            <w:tcBorders>
              <w:top w:val="single" w:sz="4" w:space="0" w:color="auto"/>
              <w:left w:val="single" w:sz="4" w:space="0" w:color="auto"/>
              <w:bottom w:val="single" w:sz="4" w:space="0" w:color="auto"/>
              <w:right w:val="single" w:sz="4" w:space="0" w:color="auto"/>
            </w:tcBorders>
            <w:vAlign w:val="center"/>
          </w:tcPr>
          <w:p w14:paraId="5BD21DEC"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1862,4</w:t>
            </w:r>
          </w:p>
        </w:tc>
        <w:tc>
          <w:tcPr>
            <w:tcW w:w="1304" w:type="dxa"/>
            <w:tcBorders>
              <w:top w:val="single" w:sz="4" w:space="0" w:color="auto"/>
              <w:left w:val="single" w:sz="4" w:space="0" w:color="auto"/>
              <w:bottom w:val="single" w:sz="4" w:space="0" w:color="auto"/>
              <w:right w:val="single" w:sz="4" w:space="0" w:color="auto"/>
            </w:tcBorders>
            <w:vAlign w:val="center"/>
          </w:tcPr>
          <w:p w14:paraId="26D2DA93"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4755,1</w:t>
            </w:r>
          </w:p>
        </w:tc>
        <w:tc>
          <w:tcPr>
            <w:tcW w:w="1191" w:type="dxa"/>
            <w:tcBorders>
              <w:top w:val="single" w:sz="4" w:space="0" w:color="auto"/>
              <w:left w:val="single" w:sz="4" w:space="0" w:color="auto"/>
              <w:bottom w:val="single" w:sz="4" w:space="0" w:color="auto"/>
              <w:right w:val="single" w:sz="4" w:space="0" w:color="auto"/>
            </w:tcBorders>
            <w:vAlign w:val="center"/>
          </w:tcPr>
          <w:p w14:paraId="02180C34"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1186,2</w:t>
            </w:r>
          </w:p>
        </w:tc>
        <w:tc>
          <w:tcPr>
            <w:tcW w:w="1361" w:type="dxa"/>
            <w:tcBorders>
              <w:top w:val="single" w:sz="4" w:space="0" w:color="auto"/>
              <w:left w:val="single" w:sz="4" w:space="0" w:color="auto"/>
              <w:bottom w:val="single" w:sz="4" w:space="0" w:color="auto"/>
              <w:right w:val="single" w:sz="4" w:space="0" w:color="auto"/>
            </w:tcBorders>
            <w:vAlign w:val="center"/>
          </w:tcPr>
          <w:p w14:paraId="6F98CF59"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2172,4</w:t>
            </w:r>
          </w:p>
        </w:tc>
      </w:tr>
      <w:tr w:rsidR="00F258CA" w:rsidRPr="0077776F" w14:paraId="70369EC5"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3DC2AFC1"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Кореневский</w:t>
            </w:r>
          </w:p>
        </w:tc>
        <w:tc>
          <w:tcPr>
            <w:tcW w:w="1191" w:type="dxa"/>
            <w:tcBorders>
              <w:top w:val="single" w:sz="4" w:space="0" w:color="auto"/>
              <w:left w:val="single" w:sz="4" w:space="0" w:color="auto"/>
              <w:bottom w:val="single" w:sz="4" w:space="0" w:color="auto"/>
              <w:right w:val="single" w:sz="4" w:space="0" w:color="auto"/>
            </w:tcBorders>
            <w:vAlign w:val="center"/>
          </w:tcPr>
          <w:p w14:paraId="70DD59EC"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682,9</w:t>
            </w:r>
          </w:p>
        </w:tc>
        <w:tc>
          <w:tcPr>
            <w:tcW w:w="1134" w:type="dxa"/>
            <w:tcBorders>
              <w:top w:val="single" w:sz="4" w:space="0" w:color="auto"/>
              <w:left w:val="single" w:sz="4" w:space="0" w:color="auto"/>
              <w:bottom w:val="single" w:sz="4" w:space="0" w:color="auto"/>
              <w:right w:val="single" w:sz="4" w:space="0" w:color="auto"/>
            </w:tcBorders>
            <w:vAlign w:val="center"/>
          </w:tcPr>
          <w:p w14:paraId="76CFB8A1"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929,1</w:t>
            </w:r>
          </w:p>
        </w:tc>
        <w:tc>
          <w:tcPr>
            <w:tcW w:w="1304" w:type="dxa"/>
            <w:tcBorders>
              <w:top w:val="single" w:sz="4" w:space="0" w:color="auto"/>
              <w:left w:val="single" w:sz="4" w:space="0" w:color="auto"/>
              <w:bottom w:val="single" w:sz="4" w:space="0" w:color="auto"/>
              <w:right w:val="single" w:sz="4" w:space="0" w:color="auto"/>
            </w:tcBorders>
            <w:vAlign w:val="center"/>
          </w:tcPr>
          <w:p w14:paraId="19EAE91C"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448,9</w:t>
            </w:r>
          </w:p>
        </w:tc>
        <w:tc>
          <w:tcPr>
            <w:tcW w:w="1191" w:type="dxa"/>
            <w:tcBorders>
              <w:top w:val="single" w:sz="4" w:space="0" w:color="auto"/>
              <w:left w:val="single" w:sz="4" w:space="0" w:color="auto"/>
              <w:bottom w:val="single" w:sz="4" w:space="0" w:color="auto"/>
              <w:right w:val="single" w:sz="4" w:space="0" w:color="auto"/>
            </w:tcBorders>
            <w:vAlign w:val="center"/>
          </w:tcPr>
          <w:p w14:paraId="63FD8AF2"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467,5</w:t>
            </w:r>
          </w:p>
        </w:tc>
        <w:tc>
          <w:tcPr>
            <w:tcW w:w="1361" w:type="dxa"/>
            <w:tcBorders>
              <w:top w:val="single" w:sz="4" w:space="0" w:color="auto"/>
              <w:left w:val="single" w:sz="4" w:space="0" w:color="auto"/>
              <w:bottom w:val="single" w:sz="4" w:space="0" w:color="auto"/>
              <w:right w:val="single" w:sz="4" w:space="0" w:color="auto"/>
            </w:tcBorders>
            <w:vAlign w:val="center"/>
          </w:tcPr>
          <w:p w14:paraId="10C85376"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516,1</w:t>
            </w:r>
          </w:p>
        </w:tc>
      </w:tr>
      <w:tr w:rsidR="00F258CA" w:rsidRPr="0077776F" w14:paraId="08EFA101"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7A75E1A6"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Курский</w:t>
            </w:r>
          </w:p>
        </w:tc>
        <w:tc>
          <w:tcPr>
            <w:tcW w:w="1191" w:type="dxa"/>
            <w:tcBorders>
              <w:top w:val="single" w:sz="4" w:space="0" w:color="auto"/>
              <w:left w:val="single" w:sz="4" w:space="0" w:color="auto"/>
              <w:bottom w:val="single" w:sz="4" w:space="0" w:color="auto"/>
              <w:right w:val="single" w:sz="4" w:space="0" w:color="auto"/>
            </w:tcBorders>
            <w:vAlign w:val="center"/>
          </w:tcPr>
          <w:p w14:paraId="175EA7B3"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915,2</w:t>
            </w:r>
          </w:p>
        </w:tc>
        <w:tc>
          <w:tcPr>
            <w:tcW w:w="1134" w:type="dxa"/>
            <w:tcBorders>
              <w:top w:val="single" w:sz="4" w:space="0" w:color="auto"/>
              <w:left w:val="single" w:sz="4" w:space="0" w:color="auto"/>
              <w:bottom w:val="single" w:sz="4" w:space="0" w:color="auto"/>
              <w:right w:val="single" w:sz="4" w:space="0" w:color="auto"/>
            </w:tcBorders>
            <w:vAlign w:val="center"/>
          </w:tcPr>
          <w:p w14:paraId="25544463"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1556,9</w:t>
            </w:r>
          </w:p>
        </w:tc>
        <w:tc>
          <w:tcPr>
            <w:tcW w:w="1304" w:type="dxa"/>
            <w:tcBorders>
              <w:top w:val="single" w:sz="4" w:space="0" w:color="auto"/>
              <w:left w:val="single" w:sz="4" w:space="0" w:color="auto"/>
              <w:bottom w:val="single" w:sz="4" w:space="0" w:color="auto"/>
              <w:right w:val="single" w:sz="4" w:space="0" w:color="auto"/>
            </w:tcBorders>
            <w:vAlign w:val="center"/>
          </w:tcPr>
          <w:p w14:paraId="2CD052F2"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3245,4</w:t>
            </w:r>
          </w:p>
        </w:tc>
        <w:tc>
          <w:tcPr>
            <w:tcW w:w="1191" w:type="dxa"/>
            <w:tcBorders>
              <w:top w:val="single" w:sz="4" w:space="0" w:color="auto"/>
              <w:left w:val="single" w:sz="4" w:space="0" w:color="auto"/>
              <w:bottom w:val="single" w:sz="4" w:space="0" w:color="auto"/>
              <w:right w:val="single" w:sz="4" w:space="0" w:color="auto"/>
            </w:tcBorders>
            <w:vAlign w:val="center"/>
          </w:tcPr>
          <w:p w14:paraId="4F0AE49B"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1893,1</w:t>
            </w:r>
          </w:p>
        </w:tc>
        <w:tc>
          <w:tcPr>
            <w:tcW w:w="1361" w:type="dxa"/>
            <w:tcBorders>
              <w:top w:val="single" w:sz="4" w:space="0" w:color="auto"/>
              <w:left w:val="single" w:sz="4" w:space="0" w:color="auto"/>
              <w:bottom w:val="single" w:sz="4" w:space="0" w:color="auto"/>
              <w:right w:val="single" w:sz="4" w:space="0" w:color="auto"/>
            </w:tcBorders>
            <w:vAlign w:val="center"/>
          </w:tcPr>
          <w:p w14:paraId="6FF0EE37"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1981,3</w:t>
            </w:r>
          </w:p>
        </w:tc>
      </w:tr>
      <w:tr w:rsidR="00F258CA" w:rsidRPr="0077776F" w14:paraId="255DF8D7"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6C0061ED"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Курчатовский</w:t>
            </w:r>
          </w:p>
        </w:tc>
        <w:tc>
          <w:tcPr>
            <w:tcW w:w="1191" w:type="dxa"/>
            <w:tcBorders>
              <w:top w:val="single" w:sz="4" w:space="0" w:color="auto"/>
              <w:left w:val="single" w:sz="4" w:space="0" w:color="auto"/>
              <w:bottom w:val="single" w:sz="4" w:space="0" w:color="auto"/>
              <w:right w:val="single" w:sz="4" w:space="0" w:color="auto"/>
            </w:tcBorders>
            <w:vAlign w:val="center"/>
          </w:tcPr>
          <w:p w14:paraId="65B9B4A3"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57,3</w:t>
            </w:r>
          </w:p>
        </w:tc>
        <w:tc>
          <w:tcPr>
            <w:tcW w:w="1134" w:type="dxa"/>
            <w:tcBorders>
              <w:top w:val="single" w:sz="4" w:space="0" w:color="auto"/>
              <w:left w:val="single" w:sz="4" w:space="0" w:color="auto"/>
              <w:bottom w:val="single" w:sz="4" w:space="0" w:color="auto"/>
              <w:right w:val="single" w:sz="4" w:space="0" w:color="auto"/>
            </w:tcBorders>
            <w:vAlign w:val="center"/>
          </w:tcPr>
          <w:p w14:paraId="2053AEA7"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62,6</w:t>
            </w:r>
          </w:p>
        </w:tc>
        <w:tc>
          <w:tcPr>
            <w:tcW w:w="1304" w:type="dxa"/>
            <w:tcBorders>
              <w:top w:val="single" w:sz="4" w:space="0" w:color="auto"/>
              <w:left w:val="single" w:sz="4" w:space="0" w:color="auto"/>
              <w:bottom w:val="single" w:sz="4" w:space="0" w:color="auto"/>
              <w:right w:val="single" w:sz="4" w:space="0" w:color="auto"/>
            </w:tcBorders>
            <w:vAlign w:val="center"/>
          </w:tcPr>
          <w:p w14:paraId="4560038D"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167,2</w:t>
            </w:r>
          </w:p>
        </w:tc>
        <w:tc>
          <w:tcPr>
            <w:tcW w:w="1191" w:type="dxa"/>
            <w:tcBorders>
              <w:top w:val="single" w:sz="4" w:space="0" w:color="auto"/>
              <w:left w:val="single" w:sz="4" w:space="0" w:color="auto"/>
              <w:bottom w:val="single" w:sz="4" w:space="0" w:color="auto"/>
              <w:right w:val="single" w:sz="4" w:space="0" w:color="auto"/>
            </w:tcBorders>
            <w:vAlign w:val="center"/>
          </w:tcPr>
          <w:p w14:paraId="0F750B9F"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137,3</w:t>
            </w:r>
          </w:p>
        </w:tc>
        <w:tc>
          <w:tcPr>
            <w:tcW w:w="1361" w:type="dxa"/>
            <w:tcBorders>
              <w:top w:val="single" w:sz="4" w:space="0" w:color="auto"/>
              <w:left w:val="single" w:sz="4" w:space="0" w:color="auto"/>
              <w:bottom w:val="single" w:sz="4" w:space="0" w:color="auto"/>
              <w:right w:val="single" w:sz="4" w:space="0" w:color="auto"/>
            </w:tcBorders>
            <w:vAlign w:val="center"/>
          </w:tcPr>
          <w:p w14:paraId="184B8C9C"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151,1</w:t>
            </w:r>
          </w:p>
        </w:tc>
      </w:tr>
      <w:tr w:rsidR="00F258CA" w:rsidRPr="0077776F" w14:paraId="13DAF59B"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2120247A"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Льговский</w:t>
            </w:r>
          </w:p>
        </w:tc>
        <w:tc>
          <w:tcPr>
            <w:tcW w:w="1191" w:type="dxa"/>
            <w:tcBorders>
              <w:top w:val="single" w:sz="4" w:space="0" w:color="auto"/>
              <w:left w:val="single" w:sz="4" w:space="0" w:color="auto"/>
              <w:bottom w:val="single" w:sz="4" w:space="0" w:color="auto"/>
              <w:right w:val="single" w:sz="4" w:space="0" w:color="auto"/>
            </w:tcBorders>
            <w:vAlign w:val="center"/>
          </w:tcPr>
          <w:p w14:paraId="69242406"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466,8</w:t>
            </w:r>
          </w:p>
        </w:tc>
        <w:tc>
          <w:tcPr>
            <w:tcW w:w="1134" w:type="dxa"/>
            <w:tcBorders>
              <w:top w:val="single" w:sz="4" w:space="0" w:color="auto"/>
              <w:left w:val="single" w:sz="4" w:space="0" w:color="auto"/>
              <w:bottom w:val="single" w:sz="4" w:space="0" w:color="auto"/>
              <w:right w:val="single" w:sz="4" w:space="0" w:color="auto"/>
            </w:tcBorders>
            <w:vAlign w:val="center"/>
          </w:tcPr>
          <w:p w14:paraId="2A86F3DD"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67,0</w:t>
            </w:r>
          </w:p>
        </w:tc>
        <w:tc>
          <w:tcPr>
            <w:tcW w:w="1304" w:type="dxa"/>
            <w:tcBorders>
              <w:top w:val="single" w:sz="4" w:space="0" w:color="auto"/>
              <w:left w:val="single" w:sz="4" w:space="0" w:color="auto"/>
              <w:bottom w:val="single" w:sz="4" w:space="0" w:color="auto"/>
              <w:right w:val="single" w:sz="4" w:space="0" w:color="auto"/>
            </w:tcBorders>
            <w:vAlign w:val="center"/>
          </w:tcPr>
          <w:p w14:paraId="16463E87"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87,7</w:t>
            </w:r>
          </w:p>
        </w:tc>
        <w:tc>
          <w:tcPr>
            <w:tcW w:w="1191" w:type="dxa"/>
            <w:tcBorders>
              <w:top w:val="single" w:sz="4" w:space="0" w:color="auto"/>
              <w:left w:val="single" w:sz="4" w:space="0" w:color="auto"/>
              <w:bottom w:val="single" w:sz="4" w:space="0" w:color="auto"/>
              <w:right w:val="single" w:sz="4" w:space="0" w:color="auto"/>
            </w:tcBorders>
            <w:vAlign w:val="center"/>
          </w:tcPr>
          <w:p w14:paraId="1FD98155"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86,9</w:t>
            </w:r>
          </w:p>
        </w:tc>
        <w:tc>
          <w:tcPr>
            <w:tcW w:w="1361" w:type="dxa"/>
            <w:tcBorders>
              <w:top w:val="single" w:sz="4" w:space="0" w:color="auto"/>
              <w:left w:val="single" w:sz="4" w:space="0" w:color="auto"/>
              <w:bottom w:val="single" w:sz="4" w:space="0" w:color="auto"/>
              <w:right w:val="single" w:sz="4" w:space="0" w:color="auto"/>
            </w:tcBorders>
            <w:vAlign w:val="center"/>
          </w:tcPr>
          <w:p w14:paraId="76436DDF"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77,2</w:t>
            </w:r>
          </w:p>
        </w:tc>
      </w:tr>
      <w:tr w:rsidR="00F258CA" w:rsidRPr="0077776F" w14:paraId="4EC3C6E9"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520CFCDF"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Мантуровский</w:t>
            </w:r>
          </w:p>
        </w:tc>
        <w:tc>
          <w:tcPr>
            <w:tcW w:w="1191" w:type="dxa"/>
            <w:tcBorders>
              <w:top w:val="single" w:sz="4" w:space="0" w:color="auto"/>
              <w:left w:val="single" w:sz="4" w:space="0" w:color="auto"/>
              <w:bottom w:val="single" w:sz="4" w:space="0" w:color="auto"/>
              <w:right w:val="single" w:sz="4" w:space="0" w:color="auto"/>
            </w:tcBorders>
            <w:vAlign w:val="center"/>
          </w:tcPr>
          <w:p w14:paraId="574DCE61"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74,0</w:t>
            </w:r>
          </w:p>
        </w:tc>
        <w:tc>
          <w:tcPr>
            <w:tcW w:w="1134" w:type="dxa"/>
            <w:tcBorders>
              <w:top w:val="single" w:sz="4" w:space="0" w:color="auto"/>
              <w:left w:val="single" w:sz="4" w:space="0" w:color="auto"/>
              <w:bottom w:val="single" w:sz="4" w:space="0" w:color="auto"/>
              <w:right w:val="single" w:sz="4" w:space="0" w:color="auto"/>
            </w:tcBorders>
            <w:vAlign w:val="center"/>
          </w:tcPr>
          <w:p w14:paraId="5EF33122"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305,1</w:t>
            </w:r>
          </w:p>
        </w:tc>
        <w:tc>
          <w:tcPr>
            <w:tcW w:w="1304" w:type="dxa"/>
            <w:tcBorders>
              <w:top w:val="single" w:sz="4" w:space="0" w:color="auto"/>
              <w:left w:val="single" w:sz="4" w:space="0" w:color="auto"/>
              <w:bottom w:val="single" w:sz="4" w:space="0" w:color="auto"/>
              <w:right w:val="single" w:sz="4" w:space="0" w:color="auto"/>
            </w:tcBorders>
            <w:vAlign w:val="center"/>
          </w:tcPr>
          <w:p w14:paraId="32B0D3A6"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202,9</w:t>
            </w:r>
          </w:p>
        </w:tc>
        <w:tc>
          <w:tcPr>
            <w:tcW w:w="1191" w:type="dxa"/>
            <w:tcBorders>
              <w:top w:val="single" w:sz="4" w:space="0" w:color="auto"/>
              <w:left w:val="single" w:sz="4" w:space="0" w:color="auto"/>
              <w:bottom w:val="single" w:sz="4" w:space="0" w:color="auto"/>
              <w:right w:val="single" w:sz="4" w:space="0" w:color="auto"/>
            </w:tcBorders>
            <w:vAlign w:val="center"/>
          </w:tcPr>
          <w:p w14:paraId="44B4492B"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122,1</w:t>
            </w:r>
          </w:p>
        </w:tc>
        <w:tc>
          <w:tcPr>
            <w:tcW w:w="1361" w:type="dxa"/>
            <w:tcBorders>
              <w:top w:val="single" w:sz="4" w:space="0" w:color="auto"/>
              <w:left w:val="single" w:sz="4" w:space="0" w:color="auto"/>
              <w:bottom w:val="single" w:sz="4" w:space="0" w:color="auto"/>
              <w:right w:val="single" w:sz="4" w:space="0" w:color="auto"/>
            </w:tcBorders>
            <w:vAlign w:val="center"/>
          </w:tcPr>
          <w:p w14:paraId="5367C37F"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71,7</w:t>
            </w:r>
          </w:p>
        </w:tc>
      </w:tr>
      <w:tr w:rsidR="00F258CA" w:rsidRPr="0077776F" w14:paraId="4677239C"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47B2C870"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Медвенский</w:t>
            </w:r>
          </w:p>
        </w:tc>
        <w:tc>
          <w:tcPr>
            <w:tcW w:w="1191" w:type="dxa"/>
            <w:tcBorders>
              <w:top w:val="single" w:sz="4" w:space="0" w:color="auto"/>
              <w:left w:val="single" w:sz="4" w:space="0" w:color="auto"/>
              <w:bottom w:val="single" w:sz="4" w:space="0" w:color="auto"/>
              <w:right w:val="single" w:sz="4" w:space="0" w:color="auto"/>
            </w:tcBorders>
            <w:vAlign w:val="center"/>
          </w:tcPr>
          <w:p w14:paraId="30C04AD4"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601,8</w:t>
            </w:r>
          </w:p>
        </w:tc>
        <w:tc>
          <w:tcPr>
            <w:tcW w:w="1134" w:type="dxa"/>
            <w:tcBorders>
              <w:top w:val="single" w:sz="4" w:space="0" w:color="auto"/>
              <w:left w:val="single" w:sz="4" w:space="0" w:color="auto"/>
              <w:bottom w:val="single" w:sz="4" w:space="0" w:color="auto"/>
              <w:right w:val="single" w:sz="4" w:space="0" w:color="auto"/>
            </w:tcBorders>
            <w:vAlign w:val="center"/>
          </w:tcPr>
          <w:p w14:paraId="5C036E32"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231,1</w:t>
            </w:r>
          </w:p>
        </w:tc>
        <w:tc>
          <w:tcPr>
            <w:tcW w:w="1304" w:type="dxa"/>
            <w:tcBorders>
              <w:top w:val="single" w:sz="4" w:space="0" w:color="auto"/>
              <w:left w:val="single" w:sz="4" w:space="0" w:color="auto"/>
              <w:bottom w:val="single" w:sz="4" w:space="0" w:color="auto"/>
              <w:right w:val="single" w:sz="4" w:space="0" w:color="auto"/>
            </w:tcBorders>
            <w:vAlign w:val="center"/>
          </w:tcPr>
          <w:p w14:paraId="0AA76370"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439,6</w:t>
            </w:r>
          </w:p>
        </w:tc>
        <w:tc>
          <w:tcPr>
            <w:tcW w:w="1191" w:type="dxa"/>
            <w:tcBorders>
              <w:top w:val="single" w:sz="4" w:space="0" w:color="auto"/>
              <w:left w:val="single" w:sz="4" w:space="0" w:color="auto"/>
              <w:bottom w:val="single" w:sz="4" w:space="0" w:color="auto"/>
              <w:right w:val="single" w:sz="4" w:space="0" w:color="auto"/>
            </w:tcBorders>
            <w:vAlign w:val="center"/>
          </w:tcPr>
          <w:p w14:paraId="529E690C"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500,0</w:t>
            </w:r>
          </w:p>
        </w:tc>
        <w:tc>
          <w:tcPr>
            <w:tcW w:w="1361" w:type="dxa"/>
            <w:tcBorders>
              <w:top w:val="single" w:sz="4" w:space="0" w:color="auto"/>
              <w:left w:val="single" w:sz="4" w:space="0" w:color="auto"/>
              <w:bottom w:val="single" w:sz="4" w:space="0" w:color="auto"/>
              <w:right w:val="single" w:sz="4" w:space="0" w:color="auto"/>
            </w:tcBorders>
            <w:vAlign w:val="center"/>
          </w:tcPr>
          <w:p w14:paraId="2230D564"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1047,2</w:t>
            </w:r>
          </w:p>
        </w:tc>
      </w:tr>
      <w:tr w:rsidR="00F258CA" w:rsidRPr="0077776F" w14:paraId="39CF7FC9"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639E000C"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lastRenderedPageBreak/>
              <w:t>Обоянский</w:t>
            </w:r>
          </w:p>
        </w:tc>
        <w:tc>
          <w:tcPr>
            <w:tcW w:w="1191" w:type="dxa"/>
            <w:tcBorders>
              <w:top w:val="single" w:sz="4" w:space="0" w:color="auto"/>
              <w:left w:val="single" w:sz="4" w:space="0" w:color="auto"/>
              <w:bottom w:val="single" w:sz="4" w:space="0" w:color="auto"/>
              <w:right w:val="single" w:sz="4" w:space="0" w:color="auto"/>
            </w:tcBorders>
            <w:vAlign w:val="center"/>
          </w:tcPr>
          <w:p w14:paraId="3F74A72C"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196,6</w:t>
            </w:r>
          </w:p>
        </w:tc>
        <w:tc>
          <w:tcPr>
            <w:tcW w:w="1134" w:type="dxa"/>
            <w:tcBorders>
              <w:top w:val="single" w:sz="4" w:space="0" w:color="auto"/>
              <w:left w:val="single" w:sz="4" w:space="0" w:color="auto"/>
              <w:bottom w:val="single" w:sz="4" w:space="0" w:color="auto"/>
              <w:right w:val="single" w:sz="4" w:space="0" w:color="auto"/>
            </w:tcBorders>
            <w:vAlign w:val="center"/>
          </w:tcPr>
          <w:p w14:paraId="793E2284"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199,4</w:t>
            </w:r>
          </w:p>
        </w:tc>
        <w:tc>
          <w:tcPr>
            <w:tcW w:w="1304" w:type="dxa"/>
            <w:tcBorders>
              <w:top w:val="single" w:sz="4" w:space="0" w:color="auto"/>
              <w:left w:val="single" w:sz="4" w:space="0" w:color="auto"/>
              <w:bottom w:val="single" w:sz="4" w:space="0" w:color="auto"/>
              <w:right w:val="single" w:sz="4" w:space="0" w:color="auto"/>
            </w:tcBorders>
            <w:vAlign w:val="center"/>
          </w:tcPr>
          <w:p w14:paraId="5FBF127E"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335,9</w:t>
            </w:r>
          </w:p>
        </w:tc>
        <w:tc>
          <w:tcPr>
            <w:tcW w:w="1191" w:type="dxa"/>
            <w:tcBorders>
              <w:top w:val="single" w:sz="4" w:space="0" w:color="auto"/>
              <w:left w:val="single" w:sz="4" w:space="0" w:color="auto"/>
              <w:bottom w:val="single" w:sz="4" w:space="0" w:color="auto"/>
              <w:right w:val="single" w:sz="4" w:space="0" w:color="auto"/>
            </w:tcBorders>
            <w:vAlign w:val="center"/>
          </w:tcPr>
          <w:p w14:paraId="40356562"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365,5</w:t>
            </w:r>
          </w:p>
        </w:tc>
        <w:tc>
          <w:tcPr>
            <w:tcW w:w="1361" w:type="dxa"/>
            <w:tcBorders>
              <w:top w:val="single" w:sz="4" w:space="0" w:color="auto"/>
              <w:left w:val="single" w:sz="4" w:space="0" w:color="auto"/>
              <w:bottom w:val="single" w:sz="4" w:space="0" w:color="auto"/>
              <w:right w:val="single" w:sz="4" w:space="0" w:color="auto"/>
            </w:tcBorders>
            <w:vAlign w:val="center"/>
          </w:tcPr>
          <w:p w14:paraId="5B7F32DF"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304,1</w:t>
            </w:r>
          </w:p>
        </w:tc>
      </w:tr>
      <w:tr w:rsidR="00F258CA" w:rsidRPr="0077776F" w14:paraId="360033E9"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686615A3"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Октябрьский</w:t>
            </w:r>
          </w:p>
        </w:tc>
        <w:tc>
          <w:tcPr>
            <w:tcW w:w="1191" w:type="dxa"/>
            <w:tcBorders>
              <w:top w:val="single" w:sz="4" w:space="0" w:color="auto"/>
              <w:left w:val="single" w:sz="4" w:space="0" w:color="auto"/>
              <w:bottom w:val="single" w:sz="4" w:space="0" w:color="auto"/>
              <w:right w:val="single" w:sz="4" w:space="0" w:color="auto"/>
            </w:tcBorders>
            <w:vAlign w:val="center"/>
          </w:tcPr>
          <w:p w14:paraId="2F590354"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110,6</w:t>
            </w:r>
          </w:p>
        </w:tc>
        <w:tc>
          <w:tcPr>
            <w:tcW w:w="1134" w:type="dxa"/>
            <w:tcBorders>
              <w:top w:val="single" w:sz="4" w:space="0" w:color="auto"/>
              <w:left w:val="single" w:sz="4" w:space="0" w:color="auto"/>
              <w:bottom w:val="single" w:sz="4" w:space="0" w:color="auto"/>
              <w:right w:val="single" w:sz="4" w:space="0" w:color="auto"/>
            </w:tcBorders>
            <w:vAlign w:val="center"/>
          </w:tcPr>
          <w:p w14:paraId="04E183B0"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65,6</w:t>
            </w:r>
          </w:p>
        </w:tc>
        <w:tc>
          <w:tcPr>
            <w:tcW w:w="1304" w:type="dxa"/>
            <w:tcBorders>
              <w:top w:val="single" w:sz="4" w:space="0" w:color="auto"/>
              <w:left w:val="single" w:sz="4" w:space="0" w:color="auto"/>
              <w:bottom w:val="single" w:sz="4" w:space="0" w:color="auto"/>
              <w:right w:val="single" w:sz="4" w:space="0" w:color="auto"/>
            </w:tcBorders>
            <w:vAlign w:val="center"/>
          </w:tcPr>
          <w:p w14:paraId="5A85A611"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349,3</w:t>
            </w:r>
          </w:p>
        </w:tc>
        <w:tc>
          <w:tcPr>
            <w:tcW w:w="1191" w:type="dxa"/>
            <w:tcBorders>
              <w:top w:val="single" w:sz="4" w:space="0" w:color="auto"/>
              <w:left w:val="single" w:sz="4" w:space="0" w:color="auto"/>
              <w:bottom w:val="single" w:sz="4" w:space="0" w:color="auto"/>
              <w:right w:val="single" w:sz="4" w:space="0" w:color="auto"/>
            </w:tcBorders>
            <w:vAlign w:val="center"/>
          </w:tcPr>
          <w:p w14:paraId="5440BDAE"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216,5</w:t>
            </w:r>
          </w:p>
        </w:tc>
        <w:tc>
          <w:tcPr>
            <w:tcW w:w="1361" w:type="dxa"/>
            <w:tcBorders>
              <w:top w:val="single" w:sz="4" w:space="0" w:color="auto"/>
              <w:left w:val="single" w:sz="4" w:space="0" w:color="auto"/>
              <w:bottom w:val="single" w:sz="4" w:space="0" w:color="auto"/>
              <w:right w:val="single" w:sz="4" w:space="0" w:color="auto"/>
            </w:tcBorders>
            <w:vAlign w:val="center"/>
          </w:tcPr>
          <w:p w14:paraId="52B99E71"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47,9</w:t>
            </w:r>
          </w:p>
        </w:tc>
      </w:tr>
      <w:tr w:rsidR="00F258CA" w:rsidRPr="0077776F" w14:paraId="7186A3F4"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40D449D6"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Поныровский</w:t>
            </w:r>
          </w:p>
        </w:tc>
        <w:tc>
          <w:tcPr>
            <w:tcW w:w="1191" w:type="dxa"/>
            <w:tcBorders>
              <w:top w:val="single" w:sz="4" w:space="0" w:color="auto"/>
              <w:left w:val="single" w:sz="4" w:space="0" w:color="auto"/>
              <w:bottom w:val="single" w:sz="4" w:space="0" w:color="auto"/>
              <w:right w:val="single" w:sz="4" w:space="0" w:color="auto"/>
            </w:tcBorders>
            <w:vAlign w:val="center"/>
          </w:tcPr>
          <w:p w14:paraId="2B216891"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w:t>
            </w:r>
          </w:p>
        </w:tc>
        <w:tc>
          <w:tcPr>
            <w:tcW w:w="1134" w:type="dxa"/>
            <w:tcBorders>
              <w:top w:val="single" w:sz="4" w:space="0" w:color="auto"/>
              <w:left w:val="single" w:sz="4" w:space="0" w:color="auto"/>
              <w:bottom w:val="single" w:sz="4" w:space="0" w:color="auto"/>
              <w:right w:val="single" w:sz="4" w:space="0" w:color="auto"/>
            </w:tcBorders>
            <w:vAlign w:val="center"/>
          </w:tcPr>
          <w:p w14:paraId="3BB543A4"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82,2</w:t>
            </w:r>
          </w:p>
        </w:tc>
        <w:tc>
          <w:tcPr>
            <w:tcW w:w="1304" w:type="dxa"/>
            <w:tcBorders>
              <w:top w:val="single" w:sz="4" w:space="0" w:color="auto"/>
              <w:left w:val="single" w:sz="4" w:space="0" w:color="auto"/>
              <w:bottom w:val="single" w:sz="4" w:space="0" w:color="auto"/>
              <w:right w:val="single" w:sz="4" w:space="0" w:color="auto"/>
            </w:tcBorders>
            <w:vAlign w:val="center"/>
          </w:tcPr>
          <w:p w14:paraId="33F0B090"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177,8</w:t>
            </w:r>
          </w:p>
        </w:tc>
        <w:tc>
          <w:tcPr>
            <w:tcW w:w="1191" w:type="dxa"/>
            <w:tcBorders>
              <w:top w:val="single" w:sz="4" w:space="0" w:color="auto"/>
              <w:left w:val="single" w:sz="4" w:space="0" w:color="auto"/>
              <w:bottom w:val="single" w:sz="4" w:space="0" w:color="auto"/>
              <w:right w:val="single" w:sz="4" w:space="0" w:color="auto"/>
            </w:tcBorders>
            <w:vAlign w:val="center"/>
          </w:tcPr>
          <w:p w14:paraId="33B250D1"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108,7</w:t>
            </w:r>
          </w:p>
        </w:tc>
        <w:tc>
          <w:tcPr>
            <w:tcW w:w="1361" w:type="dxa"/>
            <w:tcBorders>
              <w:top w:val="single" w:sz="4" w:space="0" w:color="auto"/>
              <w:left w:val="single" w:sz="4" w:space="0" w:color="auto"/>
              <w:bottom w:val="single" w:sz="4" w:space="0" w:color="auto"/>
              <w:right w:val="single" w:sz="4" w:space="0" w:color="auto"/>
            </w:tcBorders>
            <w:vAlign w:val="center"/>
          </w:tcPr>
          <w:p w14:paraId="5AD326DC"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88,6</w:t>
            </w:r>
          </w:p>
        </w:tc>
      </w:tr>
      <w:tr w:rsidR="00F258CA" w:rsidRPr="0077776F" w14:paraId="54A12F0E"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554CC645"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Пристенский</w:t>
            </w:r>
          </w:p>
        </w:tc>
        <w:tc>
          <w:tcPr>
            <w:tcW w:w="1191" w:type="dxa"/>
            <w:tcBorders>
              <w:top w:val="single" w:sz="4" w:space="0" w:color="auto"/>
              <w:left w:val="single" w:sz="4" w:space="0" w:color="auto"/>
              <w:bottom w:val="single" w:sz="4" w:space="0" w:color="auto"/>
              <w:right w:val="single" w:sz="4" w:space="0" w:color="auto"/>
            </w:tcBorders>
            <w:vAlign w:val="center"/>
          </w:tcPr>
          <w:p w14:paraId="7D5F1E01"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3157,7</w:t>
            </w:r>
          </w:p>
        </w:tc>
        <w:tc>
          <w:tcPr>
            <w:tcW w:w="1134" w:type="dxa"/>
            <w:tcBorders>
              <w:top w:val="single" w:sz="4" w:space="0" w:color="auto"/>
              <w:left w:val="single" w:sz="4" w:space="0" w:color="auto"/>
              <w:bottom w:val="single" w:sz="4" w:space="0" w:color="auto"/>
              <w:right w:val="single" w:sz="4" w:space="0" w:color="auto"/>
            </w:tcBorders>
            <w:vAlign w:val="center"/>
          </w:tcPr>
          <w:p w14:paraId="450EFD81"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1873,4</w:t>
            </w:r>
          </w:p>
        </w:tc>
        <w:tc>
          <w:tcPr>
            <w:tcW w:w="1304" w:type="dxa"/>
            <w:tcBorders>
              <w:top w:val="single" w:sz="4" w:space="0" w:color="auto"/>
              <w:left w:val="single" w:sz="4" w:space="0" w:color="auto"/>
              <w:bottom w:val="single" w:sz="4" w:space="0" w:color="auto"/>
              <w:right w:val="single" w:sz="4" w:space="0" w:color="auto"/>
            </w:tcBorders>
            <w:vAlign w:val="center"/>
          </w:tcPr>
          <w:p w14:paraId="6B20227D"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3674,3</w:t>
            </w:r>
          </w:p>
        </w:tc>
        <w:tc>
          <w:tcPr>
            <w:tcW w:w="1191" w:type="dxa"/>
            <w:tcBorders>
              <w:top w:val="single" w:sz="4" w:space="0" w:color="auto"/>
              <w:left w:val="single" w:sz="4" w:space="0" w:color="auto"/>
              <w:bottom w:val="single" w:sz="4" w:space="0" w:color="auto"/>
              <w:right w:val="single" w:sz="4" w:space="0" w:color="auto"/>
            </w:tcBorders>
            <w:vAlign w:val="center"/>
          </w:tcPr>
          <w:p w14:paraId="4AD81370"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1706,3</w:t>
            </w:r>
          </w:p>
        </w:tc>
        <w:tc>
          <w:tcPr>
            <w:tcW w:w="1361" w:type="dxa"/>
            <w:tcBorders>
              <w:top w:val="single" w:sz="4" w:space="0" w:color="auto"/>
              <w:left w:val="single" w:sz="4" w:space="0" w:color="auto"/>
              <w:bottom w:val="single" w:sz="4" w:space="0" w:color="auto"/>
              <w:right w:val="single" w:sz="4" w:space="0" w:color="auto"/>
            </w:tcBorders>
            <w:vAlign w:val="center"/>
          </w:tcPr>
          <w:p w14:paraId="5E6E9D9B"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637,6</w:t>
            </w:r>
          </w:p>
        </w:tc>
      </w:tr>
      <w:tr w:rsidR="00F258CA" w:rsidRPr="0077776F" w14:paraId="3FC8D326"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46970D91"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Рыльский</w:t>
            </w:r>
          </w:p>
        </w:tc>
        <w:tc>
          <w:tcPr>
            <w:tcW w:w="1191" w:type="dxa"/>
            <w:tcBorders>
              <w:top w:val="single" w:sz="4" w:space="0" w:color="auto"/>
              <w:left w:val="single" w:sz="4" w:space="0" w:color="auto"/>
              <w:bottom w:val="single" w:sz="4" w:space="0" w:color="auto"/>
              <w:right w:val="single" w:sz="4" w:space="0" w:color="auto"/>
            </w:tcBorders>
            <w:vAlign w:val="center"/>
          </w:tcPr>
          <w:p w14:paraId="2BF05994"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303,2</w:t>
            </w:r>
          </w:p>
        </w:tc>
        <w:tc>
          <w:tcPr>
            <w:tcW w:w="1134" w:type="dxa"/>
            <w:tcBorders>
              <w:top w:val="single" w:sz="4" w:space="0" w:color="auto"/>
              <w:left w:val="single" w:sz="4" w:space="0" w:color="auto"/>
              <w:bottom w:val="single" w:sz="4" w:space="0" w:color="auto"/>
              <w:right w:val="single" w:sz="4" w:space="0" w:color="auto"/>
            </w:tcBorders>
            <w:vAlign w:val="center"/>
          </w:tcPr>
          <w:p w14:paraId="3EA95DCE"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724,9</w:t>
            </w:r>
          </w:p>
        </w:tc>
        <w:tc>
          <w:tcPr>
            <w:tcW w:w="1304" w:type="dxa"/>
            <w:tcBorders>
              <w:top w:val="single" w:sz="4" w:space="0" w:color="auto"/>
              <w:left w:val="single" w:sz="4" w:space="0" w:color="auto"/>
              <w:bottom w:val="single" w:sz="4" w:space="0" w:color="auto"/>
              <w:right w:val="single" w:sz="4" w:space="0" w:color="auto"/>
            </w:tcBorders>
            <w:vAlign w:val="center"/>
          </w:tcPr>
          <w:p w14:paraId="028075EA"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422,1</w:t>
            </w:r>
          </w:p>
        </w:tc>
        <w:tc>
          <w:tcPr>
            <w:tcW w:w="1191" w:type="dxa"/>
            <w:tcBorders>
              <w:top w:val="single" w:sz="4" w:space="0" w:color="auto"/>
              <w:left w:val="single" w:sz="4" w:space="0" w:color="auto"/>
              <w:bottom w:val="single" w:sz="4" w:space="0" w:color="auto"/>
              <w:right w:val="single" w:sz="4" w:space="0" w:color="auto"/>
            </w:tcBorders>
            <w:vAlign w:val="center"/>
          </w:tcPr>
          <w:p w14:paraId="15384FD4"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376,0</w:t>
            </w:r>
          </w:p>
        </w:tc>
        <w:tc>
          <w:tcPr>
            <w:tcW w:w="1361" w:type="dxa"/>
            <w:tcBorders>
              <w:top w:val="single" w:sz="4" w:space="0" w:color="auto"/>
              <w:left w:val="single" w:sz="4" w:space="0" w:color="auto"/>
              <w:bottom w:val="single" w:sz="4" w:space="0" w:color="auto"/>
              <w:right w:val="single" w:sz="4" w:space="0" w:color="auto"/>
            </w:tcBorders>
            <w:vAlign w:val="center"/>
          </w:tcPr>
          <w:p w14:paraId="2C5B25E0"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456,0</w:t>
            </w:r>
          </w:p>
        </w:tc>
      </w:tr>
      <w:tr w:rsidR="00F258CA" w:rsidRPr="0077776F" w14:paraId="04C2CB6E"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16592B4E"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Советский</w:t>
            </w:r>
          </w:p>
        </w:tc>
        <w:tc>
          <w:tcPr>
            <w:tcW w:w="1191" w:type="dxa"/>
            <w:tcBorders>
              <w:top w:val="single" w:sz="4" w:space="0" w:color="auto"/>
              <w:left w:val="single" w:sz="4" w:space="0" w:color="auto"/>
              <w:bottom w:val="single" w:sz="4" w:space="0" w:color="auto"/>
              <w:right w:val="single" w:sz="4" w:space="0" w:color="auto"/>
            </w:tcBorders>
            <w:vAlign w:val="center"/>
          </w:tcPr>
          <w:p w14:paraId="75DF0249"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1752,9</w:t>
            </w:r>
          </w:p>
        </w:tc>
        <w:tc>
          <w:tcPr>
            <w:tcW w:w="1134" w:type="dxa"/>
            <w:tcBorders>
              <w:top w:val="single" w:sz="4" w:space="0" w:color="auto"/>
              <w:left w:val="single" w:sz="4" w:space="0" w:color="auto"/>
              <w:bottom w:val="single" w:sz="4" w:space="0" w:color="auto"/>
              <w:right w:val="single" w:sz="4" w:space="0" w:color="auto"/>
            </w:tcBorders>
            <w:vAlign w:val="center"/>
          </w:tcPr>
          <w:p w14:paraId="07679825"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2204,4</w:t>
            </w:r>
          </w:p>
        </w:tc>
        <w:tc>
          <w:tcPr>
            <w:tcW w:w="1304" w:type="dxa"/>
            <w:tcBorders>
              <w:top w:val="single" w:sz="4" w:space="0" w:color="auto"/>
              <w:left w:val="single" w:sz="4" w:space="0" w:color="auto"/>
              <w:bottom w:val="single" w:sz="4" w:space="0" w:color="auto"/>
              <w:right w:val="single" w:sz="4" w:space="0" w:color="auto"/>
            </w:tcBorders>
            <w:vAlign w:val="center"/>
          </w:tcPr>
          <w:p w14:paraId="2C446D07"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1070,9</w:t>
            </w:r>
          </w:p>
        </w:tc>
        <w:tc>
          <w:tcPr>
            <w:tcW w:w="1191" w:type="dxa"/>
            <w:tcBorders>
              <w:top w:val="single" w:sz="4" w:space="0" w:color="auto"/>
              <w:left w:val="single" w:sz="4" w:space="0" w:color="auto"/>
              <w:bottom w:val="single" w:sz="4" w:space="0" w:color="auto"/>
              <w:right w:val="single" w:sz="4" w:space="0" w:color="auto"/>
            </w:tcBorders>
            <w:vAlign w:val="center"/>
          </w:tcPr>
          <w:p w14:paraId="5817781D"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434,3</w:t>
            </w:r>
          </w:p>
        </w:tc>
        <w:tc>
          <w:tcPr>
            <w:tcW w:w="1361" w:type="dxa"/>
            <w:tcBorders>
              <w:top w:val="single" w:sz="4" w:space="0" w:color="auto"/>
              <w:left w:val="single" w:sz="4" w:space="0" w:color="auto"/>
              <w:bottom w:val="single" w:sz="4" w:space="0" w:color="auto"/>
              <w:right w:val="single" w:sz="4" w:space="0" w:color="auto"/>
            </w:tcBorders>
            <w:vAlign w:val="center"/>
          </w:tcPr>
          <w:p w14:paraId="1767D0D2"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928,7</w:t>
            </w:r>
          </w:p>
        </w:tc>
      </w:tr>
      <w:tr w:rsidR="00F258CA" w:rsidRPr="0077776F" w14:paraId="63A748E0"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4002E4D9"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Солнцевский</w:t>
            </w:r>
          </w:p>
        </w:tc>
        <w:tc>
          <w:tcPr>
            <w:tcW w:w="1191" w:type="dxa"/>
            <w:tcBorders>
              <w:top w:val="single" w:sz="4" w:space="0" w:color="auto"/>
              <w:left w:val="single" w:sz="4" w:space="0" w:color="auto"/>
              <w:bottom w:val="single" w:sz="4" w:space="0" w:color="auto"/>
              <w:right w:val="single" w:sz="4" w:space="0" w:color="auto"/>
            </w:tcBorders>
            <w:vAlign w:val="center"/>
          </w:tcPr>
          <w:p w14:paraId="4A1220EA"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58,9</w:t>
            </w:r>
          </w:p>
        </w:tc>
        <w:tc>
          <w:tcPr>
            <w:tcW w:w="1134" w:type="dxa"/>
            <w:tcBorders>
              <w:top w:val="single" w:sz="4" w:space="0" w:color="auto"/>
              <w:left w:val="single" w:sz="4" w:space="0" w:color="auto"/>
              <w:bottom w:val="single" w:sz="4" w:space="0" w:color="auto"/>
              <w:right w:val="single" w:sz="4" w:space="0" w:color="auto"/>
            </w:tcBorders>
            <w:vAlign w:val="center"/>
          </w:tcPr>
          <w:p w14:paraId="348580CF"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103,5</w:t>
            </w:r>
          </w:p>
        </w:tc>
        <w:tc>
          <w:tcPr>
            <w:tcW w:w="1304" w:type="dxa"/>
            <w:tcBorders>
              <w:top w:val="single" w:sz="4" w:space="0" w:color="auto"/>
              <w:left w:val="single" w:sz="4" w:space="0" w:color="auto"/>
              <w:bottom w:val="single" w:sz="4" w:space="0" w:color="auto"/>
              <w:right w:val="single" w:sz="4" w:space="0" w:color="auto"/>
            </w:tcBorders>
            <w:vAlign w:val="center"/>
          </w:tcPr>
          <w:p w14:paraId="00AB49D6"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290,9</w:t>
            </w:r>
          </w:p>
        </w:tc>
        <w:tc>
          <w:tcPr>
            <w:tcW w:w="1191" w:type="dxa"/>
            <w:tcBorders>
              <w:top w:val="single" w:sz="4" w:space="0" w:color="auto"/>
              <w:left w:val="single" w:sz="4" w:space="0" w:color="auto"/>
              <w:bottom w:val="single" w:sz="4" w:space="0" w:color="auto"/>
              <w:right w:val="single" w:sz="4" w:space="0" w:color="auto"/>
            </w:tcBorders>
            <w:vAlign w:val="center"/>
          </w:tcPr>
          <w:p w14:paraId="463C58E7"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219,7</w:t>
            </w:r>
          </w:p>
        </w:tc>
        <w:tc>
          <w:tcPr>
            <w:tcW w:w="1361" w:type="dxa"/>
            <w:tcBorders>
              <w:top w:val="single" w:sz="4" w:space="0" w:color="auto"/>
              <w:left w:val="single" w:sz="4" w:space="0" w:color="auto"/>
              <w:bottom w:val="single" w:sz="4" w:space="0" w:color="auto"/>
              <w:right w:val="single" w:sz="4" w:space="0" w:color="auto"/>
            </w:tcBorders>
            <w:vAlign w:val="center"/>
          </w:tcPr>
          <w:p w14:paraId="142B7EAC"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169,8</w:t>
            </w:r>
          </w:p>
        </w:tc>
      </w:tr>
      <w:tr w:rsidR="00F258CA" w:rsidRPr="0077776F" w14:paraId="68AEB86F"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23A3A2A7"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Суджанский</w:t>
            </w:r>
          </w:p>
        </w:tc>
        <w:tc>
          <w:tcPr>
            <w:tcW w:w="1191" w:type="dxa"/>
            <w:tcBorders>
              <w:top w:val="single" w:sz="4" w:space="0" w:color="auto"/>
              <w:left w:val="single" w:sz="4" w:space="0" w:color="auto"/>
              <w:bottom w:val="single" w:sz="4" w:space="0" w:color="auto"/>
              <w:right w:val="single" w:sz="4" w:space="0" w:color="auto"/>
            </w:tcBorders>
            <w:vAlign w:val="center"/>
          </w:tcPr>
          <w:p w14:paraId="57A39C03"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703,1</w:t>
            </w:r>
          </w:p>
        </w:tc>
        <w:tc>
          <w:tcPr>
            <w:tcW w:w="1134" w:type="dxa"/>
            <w:tcBorders>
              <w:top w:val="single" w:sz="4" w:space="0" w:color="auto"/>
              <w:left w:val="single" w:sz="4" w:space="0" w:color="auto"/>
              <w:bottom w:val="single" w:sz="4" w:space="0" w:color="auto"/>
              <w:right w:val="single" w:sz="4" w:space="0" w:color="auto"/>
            </w:tcBorders>
            <w:vAlign w:val="center"/>
          </w:tcPr>
          <w:p w14:paraId="3AA4F389"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296,2</w:t>
            </w:r>
          </w:p>
        </w:tc>
        <w:tc>
          <w:tcPr>
            <w:tcW w:w="1304" w:type="dxa"/>
            <w:tcBorders>
              <w:top w:val="single" w:sz="4" w:space="0" w:color="auto"/>
              <w:left w:val="single" w:sz="4" w:space="0" w:color="auto"/>
              <w:bottom w:val="single" w:sz="4" w:space="0" w:color="auto"/>
              <w:right w:val="single" w:sz="4" w:space="0" w:color="auto"/>
            </w:tcBorders>
            <w:vAlign w:val="center"/>
          </w:tcPr>
          <w:p w14:paraId="651F9D71"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317,0</w:t>
            </w:r>
          </w:p>
        </w:tc>
        <w:tc>
          <w:tcPr>
            <w:tcW w:w="1191" w:type="dxa"/>
            <w:tcBorders>
              <w:top w:val="single" w:sz="4" w:space="0" w:color="auto"/>
              <w:left w:val="single" w:sz="4" w:space="0" w:color="auto"/>
              <w:bottom w:val="single" w:sz="4" w:space="0" w:color="auto"/>
              <w:right w:val="single" w:sz="4" w:space="0" w:color="auto"/>
            </w:tcBorders>
            <w:vAlign w:val="center"/>
          </w:tcPr>
          <w:p w14:paraId="08E7ED9E"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546,1</w:t>
            </w:r>
          </w:p>
        </w:tc>
        <w:tc>
          <w:tcPr>
            <w:tcW w:w="1361" w:type="dxa"/>
            <w:tcBorders>
              <w:top w:val="single" w:sz="4" w:space="0" w:color="auto"/>
              <w:left w:val="single" w:sz="4" w:space="0" w:color="auto"/>
              <w:bottom w:val="single" w:sz="4" w:space="0" w:color="auto"/>
              <w:right w:val="single" w:sz="4" w:space="0" w:color="auto"/>
            </w:tcBorders>
            <w:vAlign w:val="center"/>
          </w:tcPr>
          <w:p w14:paraId="449379A6"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544,2</w:t>
            </w:r>
          </w:p>
        </w:tc>
      </w:tr>
      <w:tr w:rsidR="00F258CA" w:rsidRPr="0077776F" w14:paraId="3368B8E8"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11E66014"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Тимский</w:t>
            </w:r>
          </w:p>
        </w:tc>
        <w:tc>
          <w:tcPr>
            <w:tcW w:w="1191" w:type="dxa"/>
            <w:tcBorders>
              <w:top w:val="single" w:sz="4" w:space="0" w:color="auto"/>
              <w:left w:val="single" w:sz="4" w:space="0" w:color="auto"/>
              <w:bottom w:val="single" w:sz="4" w:space="0" w:color="auto"/>
              <w:right w:val="single" w:sz="4" w:space="0" w:color="auto"/>
            </w:tcBorders>
            <w:vAlign w:val="center"/>
          </w:tcPr>
          <w:p w14:paraId="4E00AC5E"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111,9</w:t>
            </w:r>
          </w:p>
        </w:tc>
        <w:tc>
          <w:tcPr>
            <w:tcW w:w="1134" w:type="dxa"/>
            <w:tcBorders>
              <w:top w:val="single" w:sz="4" w:space="0" w:color="auto"/>
              <w:left w:val="single" w:sz="4" w:space="0" w:color="auto"/>
              <w:bottom w:val="single" w:sz="4" w:space="0" w:color="auto"/>
              <w:right w:val="single" w:sz="4" w:space="0" w:color="auto"/>
            </w:tcBorders>
            <w:vAlign w:val="center"/>
          </w:tcPr>
          <w:p w14:paraId="0AE16878"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48,9</w:t>
            </w:r>
          </w:p>
        </w:tc>
        <w:tc>
          <w:tcPr>
            <w:tcW w:w="1304" w:type="dxa"/>
            <w:tcBorders>
              <w:top w:val="single" w:sz="4" w:space="0" w:color="auto"/>
              <w:left w:val="single" w:sz="4" w:space="0" w:color="auto"/>
              <w:bottom w:val="single" w:sz="4" w:space="0" w:color="auto"/>
              <w:right w:val="single" w:sz="4" w:space="0" w:color="auto"/>
            </w:tcBorders>
            <w:vAlign w:val="center"/>
          </w:tcPr>
          <w:p w14:paraId="047180AA"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83,6</w:t>
            </w:r>
          </w:p>
        </w:tc>
        <w:tc>
          <w:tcPr>
            <w:tcW w:w="1191" w:type="dxa"/>
            <w:tcBorders>
              <w:top w:val="single" w:sz="4" w:space="0" w:color="auto"/>
              <w:left w:val="single" w:sz="4" w:space="0" w:color="auto"/>
              <w:bottom w:val="single" w:sz="4" w:space="0" w:color="auto"/>
              <w:right w:val="single" w:sz="4" w:space="0" w:color="auto"/>
            </w:tcBorders>
            <w:vAlign w:val="center"/>
          </w:tcPr>
          <w:p w14:paraId="1161AEA9"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62,6</w:t>
            </w:r>
          </w:p>
        </w:tc>
        <w:tc>
          <w:tcPr>
            <w:tcW w:w="1361" w:type="dxa"/>
            <w:tcBorders>
              <w:top w:val="single" w:sz="4" w:space="0" w:color="auto"/>
              <w:left w:val="single" w:sz="4" w:space="0" w:color="auto"/>
              <w:bottom w:val="single" w:sz="4" w:space="0" w:color="auto"/>
              <w:right w:val="single" w:sz="4" w:space="0" w:color="auto"/>
            </w:tcBorders>
            <w:vAlign w:val="center"/>
          </w:tcPr>
          <w:p w14:paraId="6B764602"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43,2</w:t>
            </w:r>
          </w:p>
        </w:tc>
      </w:tr>
      <w:tr w:rsidR="00F258CA" w:rsidRPr="0077776F" w14:paraId="2CC83630"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538A71A0"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Фатежский</w:t>
            </w:r>
          </w:p>
        </w:tc>
        <w:tc>
          <w:tcPr>
            <w:tcW w:w="1191" w:type="dxa"/>
            <w:tcBorders>
              <w:top w:val="single" w:sz="4" w:space="0" w:color="auto"/>
              <w:left w:val="single" w:sz="4" w:space="0" w:color="auto"/>
              <w:bottom w:val="single" w:sz="4" w:space="0" w:color="auto"/>
              <w:right w:val="single" w:sz="4" w:space="0" w:color="auto"/>
            </w:tcBorders>
            <w:vAlign w:val="center"/>
          </w:tcPr>
          <w:p w14:paraId="0135DCB3"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1710,1</w:t>
            </w:r>
          </w:p>
        </w:tc>
        <w:tc>
          <w:tcPr>
            <w:tcW w:w="1134" w:type="dxa"/>
            <w:tcBorders>
              <w:top w:val="single" w:sz="4" w:space="0" w:color="auto"/>
              <w:left w:val="single" w:sz="4" w:space="0" w:color="auto"/>
              <w:bottom w:val="single" w:sz="4" w:space="0" w:color="auto"/>
              <w:right w:val="single" w:sz="4" w:space="0" w:color="auto"/>
            </w:tcBorders>
            <w:vAlign w:val="center"/>
          </w:tcPr>
          <w:p w14:paraId="0A605CC7"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663,5</w:t>
            </w:r>
          </w:p>
        </w:tc>
        <w:tc>
          <w:tcPr>
            <w:tcW w:w="1304" w:type="dxa"/>
            <w:tcBorders>
              <w:top w:val="single" w:sz="4" w:space="0" w:color="auto"/>
              <w:left w:val="single" w:sz="4" w:space="0" w:color="auto"/>
              <w:bottom w:val="single" w:sz="4" w:space="0" w:color="auto"/>
              <w:right w:val="single" w:sz="4" w:space="0" w:color="auto"/>
            </w:tcBorders>
            <w:vAlign w:val="center"/>
          </w:tcPr>
          <w:p w14:paraId="2DD3F60B"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1238,0</w:t>
            </w:r>
          </w:p>
        </w:tc>
        <w:tc>
          <w:tcPr>
            <w:tcW w:w="1191" w:type="dxa"/>
            <w:tcBorders>
              <w:top w:val="single" w:sz="4" w:space="0" w:color="auto"/>
              <w:left w:val="single" w:sz="4" w:space="0" w:color="auto"/>
              <w:bottom w:val="single" w:sz="4" w:space="0" w:color="auto"/>
              <w:right w:val="single" w:sz="4" w:space="0" w:color="auto"/>
            </w:tcBorders>
            <w:vAlign w:val="center"/>
          </w:tcPr>
          <w:p w14:paraId="3792C85E"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2855,6</w:t>
            </w:r>
          </w:p>
        </w:tc>
        <w:tc>
          <w:tcPr>
            <w:tcW w:w="1361" w:type="dxa"/>
            <w:tcBorders>
              <w:top w:val="single" w:sz="4" w:space="0" w:color="auto"/>
              <w:left w:val="single" w:sz="4" w:space="0" w:color="auto"/>
              <w:bottom w:val="single" w:sz="4" w:space="0" w:color="auto"/>
              <w:right w:val="single" w:sz="4" w:space="0" w:color="auto"/>
            </w:tcBorders>
            <w:vAlign w:val="center"/>
          </w:tcPr>
          <w:p w14:paraId="151DA178"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684,4</w:t>
            </w:r>
          </w:p>
        </w:tc>
      </w:tr>
      <w:tr w:rsidR="00F258CA" w:rsidRPr="0077776F" w14:paraId="4DF71575"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17D38EC1"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Хомутовский</w:t>
            </w:r>
          </w:p>
        </w:tc>
        <w:tc>
          <w:tcPr>
            <w:tcW w:w="1191" w:type="dxa"/>
            <w:tcBorders>
              <w:top w:val="single" w:sz="4" w:space="0" w:color="auto"/>
              <w:left w:val="single" w:sz="4" w:space="0" w:color="auto"/>
              <w:bottom w:val="single" w:sz="4" w:space="0" w:color="auto"/>
              <w:right w:val="single" w:sz="4" w:space="0" w:color="auto"/>
            </w:tcBorders>
            <w:vAlign w:val="center"/>
          </w:tcPr>
          <w:p w14:paraId="2A18483F"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97,1</w:t>
            </w:r>
          </w:p>
        </w:tc>
        <w:tc>
          <w:tcPr>
            <w:tcW w:w="1134" w:type="dxa"/>
            <w:tcBorders>
              <w:top w:val="single" w:sz="4" w:space="0" w:color="auto"/>
              <w:left w:val="single" w:sz="4" w:space="0" w:color="auto"/>
              <w:bottom w:val="single" w:sz="4" w:space="0" w:color="auto"/>
              <w:right w:val="single" w:sz="4" w:space="0" w:color="auto"/>
            </w:tcBorders>
            <w:vAlign w:val="center"/>
          </w:tcPr>
          <w:p w14:paraId="00987354"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118,6</w:t>
            </w:r>
          </w:p>
        </w:tc>
        <w:tc>
          <w:tcPr>
            <w:tcW w:w="1304" w:type="dxa"/>
            <w:tcBorders>
              <w:top w:val="single" w:sz="4" w:space="0" w:color="auto"/>
              <w:left w:val="single" w:sz="4" w:space="0" w:color="auto"/>
              <w:bottom w:val="single" w:sz="4" w:space="0" w:color="auto"/>
              <w:right w:val="single" w:sz="4" w:space="0" w:color="auto"/>
            </w:tcBorders>
            <w:vAlign w:val="center"/>
          </w:tcPr>
          <w:p w14:paraId="738D1A34"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153,3</w:t>
            </w:r>
          </w:p>
        </w:tc>
        <w:tc>
          <w:tcPr>
            <w:tcW w:w="1191" w:type="dxa"/>
            <w:tcBorders>
              <w:top w:val="single" w:sz="4" w:space="0" w:color="auto"/>
              <w:left w:val="single" w:sz="4" w:space="0" w:color="auto"/>
              <w:bottom w:val="single" w:sz="4" w:space="0" w:color="auto"/>
              <w:right w:val="single" w:sz="4" w:space="0" w:color="auto"/>
            </w:tcBorders>
            <w:vAlign w:val="center"/>
          </w:tcPr>
          <w:p w14:paraId="0733420B"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79,1</w:t>
            </w:r>
          </w:p>
        </w:tc>
        <w:tc>
          <w:tcPr>
            <w:tcW w:w="1361" w:type="dxa"/>
            <w:tcBorders>
              <w:top w:val="single" w:sz="4" w:space="0" w:color="auto"/>
              <w:left w:val="single" w:sz="4" w:space="0" w:color="auto"/>
              <w:bottom w:val="single" w:sz="4" w:space="0" w:color="auto"/>
              <w:right w:val="single" w:sz="4" w:space="0" w:color="auto"/>
            </w:tcBorders>
            <w:vAlign w:val="center"/>
          </w:tcPr>
          <w:p w14:paraId="54795678"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133,7</w:t>
            </w:r>
          </w:p>
        </w:tc>
      </w:tr>
      <w:tr w:rsidR="00F258CA" w:rsidRPr="0077776F" w14:paraId="43EAF716"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1AFEF782"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Черемисиновский</w:t>
            </w:r>
          </w:p>
        </w:tc>
        <w:tc>
          <w:tcPr>
            <w:tcW w:w="1191" w:type="dxa"/>
            <w:tcBorders>
              <w:top w:val="single" w:sz="4" w:space="0" w:color="auto"/>
              <w:left w:val="single" w:sz="4" w:space="0" w:color="auto"/>
              <w:bottom w:val="single" w:sz="4" w:space="0" w:color="auto"/>
              <w:right w:val="single" w:sz="4" w:space="0" w:color="auto"/>
            </w:tcBorders>
            <w:vAlign w:val="center"/>
          </w:tcPr>
          <w:p w14:paraId="4269ED13"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38,1</w:t>
            </w:r>
          </w:p>
        </w:tc>
        <w:tc>
          <w:tcPr>
            <w:tcW w:w="1134" w:type="dxa"/>
            <w:tcBorders>
              <w:top w:val="single" w:sz="4" w:space="0" w:color="auto"/>
              <w:left w:val="single" w:sz="4" w:space="0" w:color="auto"/>
              <w:bottom w:val="single" w:sz="4" w:space="0" w:color="auto"/>
              <w:right w:val="single" w:sz="4" w:space="0" w:color="auto"/>
            </w:tcBorders>
            <w:vAlign w:val="center"/>
          </w:tcPr>
          <w:p w14:paraId="74B8CA3D"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141,5</w:t>
            </w:r>
          </w:p>
        </w:tc>
        <w:tc>
          <w:tcPr>
            <w:tcW w:w="1304" w:type="dxa"/>
            <w:tcBorders>
              <w:top w:val="single" w:sz="4" w:space="0" w:color="auto"/>
              <w:left w:val="single" w:sz="4" w:space="0" w:color="auto"/>
              <w:bottom w:val="single" w:sz="4" w:space="0" w:color="auto"/>
              <w:right w:val="single" w:sz="4" w:space="0" w:color="auto"/>
            </w:tcBorders>
            <w:vAlign w:val="center"/>
          </w:tcPr>
          <w:p w14:paraId="70338C47"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148,4</w:t>
            </w:r>
          </w:p>
        </w:tc>
        <w:tc>
          <w:tcPr>
            <w:tcW w:w="1191" w:type="dxa"/>
            <w:tcBorders>
              <w:top w:val="single" w:sz="4" w:space="0" w:color="auto"/>
              <w:left w:val="single" w:sz="4" w:space="0" w:color="auto"/>
              <w:bottom w:val="single" w:sz="4" w:space="0" w:color="auto"/>
              <w:right w:val="single" w:sz="4" w:space="0" w:color="auto"/>
            </w:tcBorders>
            <w:vAlign w:val="center"/>
          </w:tcPr>
          <w:p w14:paraId="04998565"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130,9</w:t>
            </w:r>
          </w:p>
        </w:tc>
        <w:tc>
          <w:tcPr>
            <w:tcW w:w="1361" w:type="dxa"/>
            <w:tcBorders>
              <w:top w:val="single" w:sz="4" w:space="0" w:color="auto"/>
              <w:left w:val="single" w:sz="4" w:space="0" w:color="auto"/>
              <w:bottom w:val="single" w:sz="4" w:space="0" w:color="auto"/>
              <w:right w:val="single" w:sz="4" w:space="0" w:color="auto"/>
            </w:tcBorders>
            <w:vAlign w:val="center"/>
          </w:tcPr>
          <w:p w14:paraId="109F2213"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96,7</w:t>
            </w:r>
          </w:p>
        </w:tc>
      </w:tr>
      <w:tr w:rsidR="00F258CA" w:rsidRPr="0077776F" w14:paraId="770A3E2D"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2815EC12"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Щигровский</w:t>
            </w:r>
          </w:p>
        </w:tc>
        <w:tc>
          <w:tcPr>
            <w:tcW w:w="1191" w:type="dxa"/>
            <w:tcBorders>
              <w:top w:val="single" w:sz="4" w:space="0" w:color="auto"/>
              <w:left w:val="single" w:sz="4" w:space="0" w:color="auto"/>
              <w:bottom w:val="single" w:sz="4" w:space="0" w:color="auto"/>
              <w:right w:val="single" w:sz="4" w:space="0" w:color="auto"/>
            </w:tcBorders>
            <w:vAlign w:val="center"/>
          </w:tcPr>
          <w:p w14:paraId="6C0E49A6"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288,4</w:t>
            </w:r>
          </w:p>
        </w:tc>
        <w:tc>
          <w:tcPr>
            <w:tcW w:w="1134" w:type="dxa"/>
            <w:tcBorders>
              <w:top w:val="single" w:sz="4" w:space="0" w:color="auto"/>
              <w:left w:val="single" w:sz="4" w:space="0" w:color="auto"/>
              <w:bottom w:val="single" w:sz="4" w:space="0" w:color="auto"/>
              <w:right w:val="single" w:sz="4" w:space="0" w:color="auto"/>
            </w:tcBorders>
            <w:vAlign w:val="center"/>
          </w:tcPr>
          <w:p w14:paraId="7B2C60B5"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236,6</w:t>
            </w:r>
          </w:p>
        </w:tc>
        <w:tc>
          <w:tcPr>
            <w:tcW w:w="1304" w:type="dxa"/>
            <w:tcBorders>
              <w:top w:val="single" w:sz="4" w:space="0" w:color="auto"/>
              <w:left w:val="single" w:sz="4" w:space="0" w:color="auto"/>
              <w:bottom w:val="single" w:sz="4" w:space="0" w:color="auto"/>
              <w:right w:val="single" w:sz="4" w:space="0" w:color="auto"/>
            </w:tcBorders>
            <w:vAlign w:val="center"/>
          </w:tcPr>
          <w:p w14:paraId="7087063F"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211,1</w:t>
            </w:r>
          </w:p>
        </w:tc>
        <w:tc>
          <w:tcPr>
            <w:tcW w:w="1191" w:type="dxa"/>
            <w:tcBorders>
              <w:top w:val="single" w:sz="4" w:space="0" w:color="auto"/>
              <w:left w:val="single" w:sz="4" w:space="0" w:color="auto"/>
              <w:bottom w:val="single" w:sz="4" w:space="0" w:color="auto"/>
              <w:right w:val="single" w:sz="4" w:space="0" w:color="auto"/>
            </w:tcBorders>
            <w:vAlign w:val="center"/>
          </w:tcPr>
          <w:p w14:paraId="0707A0E4"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206,2</w:t>
            </w:r>
          </w:p>
        </w:tc>
        <w:tc>
          <w:tcPr>
            <w:tcW w:w="1361" w:type="dxa"/>
            <w:tcBorders>
              <w:top w:val="single" w:sz="4" w:space="0" w:color="auto"/>
              <w:left w:val="single" w:sz="4" w:space="0" w:color="auto"/>
              <w:bottom w:val="single" w:sz="4" w:space="0" w:color="auto"/>
              <w:right w:val="single" w:sz="4" w:space="0" w:color="auto"/>
            </w:tcBorders>
            <w:vAlign w:val="center"/>
          </w:tcPr>
          <w:p w14:paraId="4AB40400"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139,5</w:t>
            </w:r>
          </w:p>
        </w:tc>
      </w:tr>
      <w:tr w:rsidR="00F258CA" w:rsidRPr="0077776F" w14:paraId="26E7FF06"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5F003DCE"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 Курск</w:t>
            </w:r>
          </w:p>
        </w:tc>
        <w:tc>
          <w:tcPr>
            <w:tcW w:w="1191" w:type="dxa"/>
            <w:tcBorders>
              <w:top w:val="single" w:sz="4" w:space="0" w:color="auto"/>
              <w:left w:val="single" w:sz="4" w:space="0" w:color="auto"/>
              <w:bottom w:val="single" w:sz="4" w:space="0" w:color="auto"/>
              <w:right w:val="single" w:sz="4" w:space="0" w:color="auto"/>
            </w:tcBorders>
            <w:vAlign w:val="center"/>
          </w:tcPr>
          <w:p w14:paraId="274FF29C"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20280,5</w:t>
            </w:r>
          </w:p>
        </w:tc>
        <w:tc>
          <w:tcPr>
            <w:tcW w:w="1134" w:type="dxa"/>
            <w:tcBorders>
              <w:top w:val="single" w:sz="4" w:space="0" w:color="auto"/>
              <w:left w:val="single" w:sz="4" w:space="0" w:color="auto"/>
              <w:bottom w:val="single" w:sz="4" w:space="0" w:color="auto"/>
              <w:right w:val="single" w:sz="4" w:space="0" w:color="auto"/>
            </w:tcBorders>
            <w:vAlign w:val="center"/>
          </w:tcPr>
          <w:p w14:paraId="411B1E4B"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15730,6</w:t>
            </w:r>
          </w:p>
        </w:tc>
        <w:tc>
          <w:tcPr>
            <w:tcW w:w="1304" w:type="dxa"/>
            <w:tcBorders>
              <w:top w:val="single" w:sz="4" w:space="0" w:color="auto"/>
              <w:left w:val="single" w:sz="4" w:space="0" w:color="auto"/>
              <w:bottom w:val="single" w:sz="4" w:space="0" w:color="auto"/>
              <w:right w:val="single" w:sz="4" w:space="0" w:color="auto"/>
            </w:tcBorders>
            <w:vAlign w:val="center"/>
          </w:tcPr>
          <w:p w14:paraId="4865F1FF"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14942,5</w:t>
            </w:r>
          </w:p>
        </w:tc>
        <w:tc>
          <w:tcPr>
            <w:tcW w:w="1191" w:type="dxa"/>
            <w:tcBorders>
              <w:top w:val="single" w:sz="4" w:space="0" w:color="auto"/>
              <w:left w:val="single" w:sz="4" w:space="0" w:color="auto"/>
              <w:bottom w:val="single" w:sz="4" w:space="0" w:color="auto"/>
              <w:right w:val="single" w:sz="4" w:space="0" w:color="auto"/>
            </w:tcBorders>
            <w:vAlign w:val="center"/>
          </w:tcPr>
          <w:p w14:paraId="0A0199CF"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22680,6</w:t>
            </w:r>
          </w:p>
        </w:tc>
        <w:tc>
          <w:tcPr>
            <w:tcW w:w="1361" w:type="dxa"/>
            <w:tcBorders>
              <w:top w:val="single" w:sz="4" w:space="0" w:color="auto"/>
              <w:left w:val="single" w:sz="4" w:space="0" w:color="auto"/>
              <w:bottom w:val="single" w:sz="4" w:space="0" w:color="auto"/>
              <w:right w:val="single" w:sz="4" w:space="0" w:color="auto"/>
            </w:tcBorders>
            <w:vAlign w:val="center"/>
          </w:tcPr>
          <w:p w14:paraId="7A764953"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17174,3</w:t>
            </w:r>
          </w:p>
        </w:tc>
      </w:tr>
      <w:tr w:rsidR="00F258CA" w:rsidRPr="0077776F" w14:paraId="331765D3"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2D2F450D"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г.Железногорск</w:t>
            </w:r>
          </w:p>
        </w:tc>
        <w:tc>
          <w:tcPr>
            <w:tcW w:w="1191" w:type="dxa"/>
            <w:tcBorders>
              <w:top w:val="single" w:sz="4" w:space="0" w:color="auto"/>
              <w:left w:val="single" w:sz="4" w:space="0" w:color="auto"/>
              <w:bottom w:val="single" w:sz="4" w:space="0" w:color="auto"/>
              <w:right w:val="single" w:sz="4" w:space="0" w:color="auto"/>
            </w:tcBorders>
            <w:vAlign w:val="center"/>
          </w:tcPr>
          <w:p w14:paraId="0978BC39"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1896,0</w:t>
            </w:r>
          </w:p>
        </w:tc>
        <w:tc>
          <w:tcPr>
            <w:tcW w:w="1134" w:type="dxa"/>
            <w:tcBorders>
              <w:top w:val="single" w:sz="4" w:space="0" w:color="auto"/>
              <w:left w:val="single" w:sz="4" w:space="0" w:color="auto"/>
              <w:bottom w:val="single" w:sz="4" w:space="0" w:color="auto"/>
              <w:right w:val="single" w:sz="4" w:space="0" w:color="auto"/>
            </w:tcBorders>
            <w:vAlign w:val="center"/>
          </w:tcPr>
          <w:p w14:paraId="77D98888"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7733,6</w:t>
            </w:r>
          </w:p>
        </w:tc>
        <w:tc>
          <w:tcPr>
            <w:tcW w:w="1304" w:type="dxa"/>
            <w:tcBorders>
              <w:top w:val="single" w:sz="4" w:space="0" w:color="auto"/>
              <w:left w:val="single" w:sz="4" w:space="0" w:color="auto"/>
              <w:bottom w:val="single" w:sz="4" w:space="0" w:color="auto"/>
              <w:right w:val="single" w:sz="4" w:space="0" w:color="auto"/>
            </w:tcBorders>
            <w:vAlign w:val="center"/>
          </w:tcPr>
          <w:p w14:paraId="6F57C197"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4389,0</w:t>
            </w:r>
          </w:p>
        </w:tc>
        <w:tc>
          <w:tcPr>
            <w:tcW w:w="1191" w:type="dxa"/>
            <w:tcBorders>
              <w:top w:val="single" w:sz="4" w:space="0" w:color="auto"/>
              <w:left w:val="single" w:sz="4" w:space="0" w:color="auto"/>
              <w:bottom w:val="single" w:sz="4" w:space="0" w:color="auto"/>
              <w:right w:val="single" w:sz="4" w:space="0" w:color="auto"/>
            </w:tcBorders>
            <w:vAlign w:val="center"/>
          </w:tcPr>
          <w:p w14:paraId="14AAA52F"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6161,4</w:t>
            </w:r>
          </w:p>
        </w:tc>
        <w:tc>
          <w:tcPr>
            <w:tcW w:w="1361" w:type="dxa"/>
            <w:tcBorders>
              <w:top w:val="single" w:sz="4" w:space="0" w:color="auto"/>
              <w:left w:val="single" w:sz="4" w:space="0" w:color="auto"/>
              <w:bottom w:val="single" w:sz="4" w:space="0" w:color="auto"/>
              <w:right w:val="single" w:sz="4" w:space="0" w:color="auto"/>
            </w:tcBorders>
            <w:vAlign w:val="center"/>
          </w:tcPr>
          <w:p w14:paraId="718FC221"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4266,9</w:t>
            </w:r>
          </w:p>
        </w:tc>
      </w:tr>
      <w:tr w:rsidR="00F258CA" w:rsidRPr="0077776F" w14:paraId="40B44245"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23AA109E"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г.Курчатов</w:t>
            </w:r>
          </w:p>
        </w:tc>
        <w:tc>
          <w:tcPr>
            <w:tcW w:w="1191" w:type="dxa"/>
            <w:tcBorders>
              <w:top w:val="single" w:sz="4" w:space="0" w:color="auto"/>
              <w:left w:val="single" w:sz="4" w:space="0" w:color="auto"/>
              <w:bottom w:val="single" w:sz="4" w:space="0" w:color="auto"/>
              <w:right w:val="single" w:sz="4" w:space="0" w:color="auto"/>
            </w:tcBorders>
            <w:vAlign w:val="center"/>
          </w:tcPr>
          <w:p w14:paraId="4E4C4362"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4746,9</w:t>
            </w:r>
          </w:p>
        </w:tc>
        <w:tc>
          <w:tcPr>
            <w:tcW w:w="1134" w:type="dxa"/>
            <w:tcBorders>
              <w:top w:val="single" w:sz="4" w:space="0" w:color="auto"/>
              <w:left w:val="single" w:sz="4" w:space="0" w:color="auto"/>
              <w:bottom w:val="single" w:sz="4" w:space="0" w:color="auto"/>
              <w:right w:val="single" w:sz="4" w:space="0" w:color="auto"/>
            </w:tcBorders>
            <w:vAlign w:val="center"/>
          </w:tcPr>
          <w:p w14:paraId="5EC1D31A"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6661,4</w:t>
            </w:r>
          </w:p>
        </w:tc>
        <w:tc>
          <w:tcPr>
            <w:tcW w:w="1304" w:type="dxa"/>
            <w:tcBorders>
              <w:top w:val="single" w:sz="4" w:space="0" w:color="auto"/>
              <w:left w:val="single" w:sz="4" w:space="0" w:color="auto"/>
              <w:bottom w:val="single" w:sz="4" w:space="0" w:color="auto"/>
              <w:right w:val="single" w:sz="4" w:space="0" w:color="auto"/>
            </w:tcBorders>
            <w:vAlign w:val="center"/>
          </w:tcPr>
          <w:p w14:paraId="4CCC77BE"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8499,4</w:t>
            </w:r>
          </w:p>
        </w:tc>
        <w:tc>
          <w:tcPr>
            <w:tcW w:w="1191" w:type="dxa"/>
            <w:tcBorders>
              <w:top w:val="single" w:sz="4" w:space="0" w:color="auto"/>
              <w:left w:val="single" w:sz="4" w:space="0" w:color="auto"/>
              <w:bottom w:val="single" w:sz="4" w:space="0" w:color="auto"/>
              <w:right w:val="single" w:sz="4" w:space="0" w:color="auto"/>
            </w:tcBorders>
            <w:vAlign w:val="center"/>
          </w:tcPr>
          <w:p w14:paraId="5B1A920F"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8808,7</w:t>
            </w:r>
          </w:p>
        </w:tc>
        <w:tc>
          <w:tcPr>
            <w:tcW w:w="1361" w:type="dxa"/>
            <w:tcBorders>
              <w:top w:val="single" w:sz="4" w:space="0" w:color="auto"/>
              <w:left w:val="single" w:sz="4" w:space="0" w:color="auto"/>
              <w:bottom w:val="single" w:sz="4" w:space="0" w:color="auto"/>
              <w:right w:val="single" w:sz="4" w:space="0" w:color="auto"/>
            </w:tcBorders>
            <w:vAlign w:val="center"/>
          </w:tcPr>
          <w:p w14:paraId="256221B7"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11803,1</w:t>
            </w:r>
          </w:p>
        </w:tc>
      </w:tr>
      <w:tr w:rsidR="00F258CA" w:rsidRPr="0077776F" w14:paraId="79A48C35"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5E5F3445"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г.Льгов</w:t>
            </w:r>
          </w:p>
        </w:tc>
        <w:tc>
          <w:tcPr>
            <w:tcW w:w="1191" w:type="dxa"/>
            <w:tcBorders>
              <w:top w:val="single" w:sz="4" w:space="0" w:color="auto"/>
              <w:left w:val="single" w:sz="4" w:space="0" w:color="auto"/>
              <w:bottom w:val="single" w:sz="4" w:space="0" w:color="auto"/>
              <w:right w:val="single" w:sz="4" w:space="0" w:color="auto"/>
            </w:tcBorders>
            <w:vAlign w:val="center"/>
          </w:tcPr>
          <w:p w14:paraId="056527CB"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124,7</w:t>
            </w:r>
          </w:p>
        </w:tc>
        <w:tc>
          <w:tcPr>
            <w:tcW w:w="1134" w:type="dxa"/>
            <w:tcBorders>
              <w:top w:val="single" w:sz="4" w:space="0" w:color="auto"/>
              <w:left w:val="single" w:sz="4" w:space="0" w:color="auto"/>
              <w:bottom w:val="single" w:sz="4" w:space="0" w:color="auto"/>
              <w:right w:val="single" w:sz="4" w:space="0" w:color="auto"/>
            </w:tcBorders>
            <w:vAlign w:val="center"/>
          </w:tcPr>
          <w:p w14:paraId="14B4395E"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226,1</w:t>
            </w:r>
          </w:p>
        </w:tc>
        <w:tc>
          <w:tcPr>
            <w:tcW w:w="1304" w:type="dxa"/>
            <w:tcBorders>
              <w:top w:val="single" w:sz="4" w:space="0" w:color="auto"/>
              <w:left w:val="single" w:sz="4" w:space="0" w:color="auto"/>
              <w:bottom w:val="single" w:sz="4" w:space="0" w:color="auto"/>
              <w:right w:val="single" w:sz="4" w:space="0" w:color="auto"/>
            </w:tcBorders>
            <w:vAlign w:val="center"/>
          </w:tcPr>
          <w:p w14:paraId="61097B7A"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209,8</w:t>
            </w:r>
          </w:p>
        </w:tc>
        <w:tc>
          <w:tcPr>
            <w:tcW w:w="1191" w:type="dxa"/>
            <w:tcBorders>
              <w:top w:val="single" w:sz="4" w:space="0" w:color="auto"/>
              <w:left w:val="single" w:sz="4" w:space="0" w:color="auto"/>
              <w:bottom w:val="single" w:sz="4" w:space="0" w:color="auto"/>
              <w:right w:val="single" w:sz="4" w:space="0" w:color="auto"/>
            </w:tcBorders>
            <w:vAlign w:val="center"/>
          </w:tcPr>
          <w:p w14:paraId="43D2D73B"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169,5</w:t>
            </w:r>
          </w:p>
        </w:tc>
        <w:tc>
          <w:tcPr>
            <w:tcW w:w="1361" w:type="dxa"/>
            <w:tcBorders>
              <w:top w:val="single" w:sz="4" w:space="0" w:color="auto"/>
              <w:left w:val="single" w:sz="4" w:space="0" w:color="auto"/>
              <w:bottom w:val="single" w:sz="4" w:space="0" w:color="auto"/>
              <w:right w:val="single" w:sz="4" w:space="0" w:color="auto"/>
            </w:tcBorders>
            <w:vAlign w:val="center"/>
          </w:tcPr>
          <w:p w14:paraId="0A97B918"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206,1</w:t>
            </w:r>
          </w:p>
        </w:tc>
      </w:tr>
      <w:tr w:rsidR="00F258CA" w:rsidRPr="0077776F" w14:paraId="03FA2D01"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38A3B9D3"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г.Щигры</w:t>
            </w:r>
          </w:p>
        </w:tc>
        <w:tc>
          <w:tcPr>
            <w:tcW w:w="1191" w:type="dxa"/>
            <w:tcBorders>
              <w:top w:val="single" w:sz="4" w:space="0" w:color="auto"/>
              <w:left w:val="single" w:sz="4" w:space="0" w:color="auto"/>
              <w:bottom w:val="single" w:sz="4" w:space="0" w:color="auto"/>
              <w:right w:val="single" w:sz="4" w:space="0" w:color="auto"/>
            </w:tcBorders>
            <w:vAlign w:val="center"/>
          </w:tcPr>
          <w:p w14:paraId="7C1CB521"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169,8</w:t>
            </w:r>
          </w:p>
        </w:tc>
        <w:tc>
          <w:tcPr>
            <w:tcW w:w="1134" w:type="dxa"/>
            <w:tcBorders>
              <w:top w:val="single" w:sz="4" w:space="0" w:color="auto"/>
              <w:left w:val="single" w:sz="4" w:space="0" w:color="auto"/>
              <w:bottom w:val="single" w:sz="4" w:space="0" w:color="auto"/>
              <w:right w:val="single" w:sz="4" w:space="0" w:color="auto"/>
            </w:tcBorders>
            <w:vAlign w:val="center"/>
          </w:tcPr>
          <w:p w14:paraId="745DBF40"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266,0</w:t>
            </w:r>
          </w:p>
        </w:tc>
        <w:tc>
          <w:tcPr>
            <w:tcW w:w="1304" w:type="dxa"/>
            <w:tcBorders>
              <w:top w:val="single" w:sz="4" w:space="0" w:color="auto"/>
              <w:left w:val="single" w:sz="4" w:space="0" w:color="auto"/>
              <w:bottom w:val="single" w:sz="4" w:space="0" w:color="auto"/>
              <w:right w:val="single" w:sz="4" w:space="0" w:color="auto"/>
            </w:tcBorders>
            <w:vAlign w:val="center"/>
          </w:tcPr>
          <w:p w14:paraId="4B7EFBA7"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311,9</w:t>
            </w:r>
          </w:p>
        </w:tc>
        <w:tc>
          <w:tcPr>
            <w:tcW w:w="1191" w:type="dxa"/>
            <w:tcBorders>
              <w:top w:val="single" w:sz="4" w:space="0" w:color="auto"/>
              <w:left w:val="single" w:sz="4" w:space="0" w:color="auto"/>
              <w:bottom w:val="single" w:sz="4" w:space="0" w:color="auto"/>
              <w:right w:val="single" w:sz="4" w:space="0" w:color="auto"/>
            </w:tcBorders>
            <w:vAlign w:val="center"/>
          </w:tcPr>
          <w:p w14:paraId="618903D1"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120,8</w:t>
            </w:r>
          </w:p>
        </w:tc>
        <w:tc>
          <w:tcPr>
            <w:tcW w:w="1361" w:type="dxa"/>
            <w:tcBorders>
              <w:top w:val="single" w:sz="4" w:space="0" w:color="auto"/>
              <w:left w:val="single" w:sz="4" w:space="0" w:color="auto"/>
              <w:bottom w:val="single" w:sz="4" w:space="0" w:color="auto"/>
              <w:right w:val="single" w:sz="4" w:space="0" w:color="auto"/>
            </w:tcBorders>
            <w:vAlign w:val="center"/>
          </w:tcPr>
          <w:p w14:paraId="60645412"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43,6</w:t>
            </w:r>
          </w:p>
        </w:tc>
      </w:tr>
      <w:tr w:rsidR="00F258CA" w:rsidRPr="0077776F" w14:paraId="377BB012" w14:textId="77777777"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14:paraId="2F9D3982"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Всего по </w:t>
            </w:r>
          </w:p>
          <w:p w14:paraId="3DB40845"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Курской области</w:t>
            </w:r>
          </w:p>
        </w:tc>
        <w:tc>
          <w:tcPr>
            <w:tcW w:w="1191" w:type="dxa"/>
            <w:tcBorders>
              <w:top w:val="single" w:sz="4" w:space="0" w:color="auto"/>
              <w:left w:val="single" w:sz="4" w:space="0" w:color="auto"/>
              <w:bottom w:val="single" w:sz="4" w:space="0" w:color="auto"/>
              <w:right w:val="single" w:sz="4" w:space="0" w:color="auto"/>
            </w:tcBorders>
            <w:vAlign w:val="center"/>
          </w:tcPr>
          <w:p w14:paraId="3EAE02F4"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49962,8</w:t>
            </w:r>
          </w:p>
        </w:tc>
        <w:tc>
          <w:tcPr>
            <w:tcW w:w="1134" w:type="dxa"/>
            <w:tcBorders>
              <w:top w:val="single" w:sz="4" w:space="0" w:color="auto"/>
              <w:left w:val="single" w:sz="4" w:space="0" w:color="auto"/>
              <w:bottom w:val="single" w:sz="4" w:space="0" w:color="auto"/>
              <w:right w:val="single" w:sz="4" w:space="0" w:color="auto"/>
            </w:tcBorders>
            <w:vAlign w:val="center"/>
          </w:tcPr>
          <w:p w14:paraId="34B413D9"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53361,4</w:t>
            </w:r>
          </w:p>
        </w:tc>
        <w:tc>
          <w:tcPr>
            <w:tcW w:w="1304" w:type="dxa"/>
            <w:tcBorders>
              <w:top w:val="single" w:sz="4" w:space="0" w:color="auto"/>
              <w:left w:val="single" w:sz="4" w:space="0" w:color="auto"/>
              <w:bottom w:val="single" w:sz="4" w:space="0" w:color="auto"/>
              <w:right w:val="single" w:sz="4" w:space="0" w:color="auto"/>
            </w:tcBorders>
            <w:vAlign w:val="center"/>
          </w:tcPr>
          <w:p w14:paraId="7B6A3110"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54879,5</w:t>
            </w:r>
          </w:p>
        </w:tc>
        <w:tc>
          <w:tcPr>
            <w:tcW w:w="1191" w:type="dxa"/>
            <w:tcBorders>
              <w:top w:val="single" w:sz="4" w:space="0" w:color="auto"/>
              <w:left w:val="single" w:sz="4" w:space="0" w:color="auto"/>
              <w:bottom w:val="single" w:sz="4" w:space="0" w:color="auto"/>
              <w:right w:val="single" w:sz="4" w:space="0" w:color="auto"/>
            </w:tcBorders>
            <w:vAlign w:val="center"/>
          </w:tcPr>
          <w:p w14:paraId="33E92CB9"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55382,0</w:t>
            </w:r>
          </w:p>
        </w:tc>
        <w:tc>
          <w:tcPr>
            <w:tcW w:w="1361" w:type="dxa"/>
            <w:tcBorders>
              <w:top w:val="single" w:sz="4" w:space="0" w:color="auto"/>
              <w:left w:val="single" w:sz="4" w:space="0" w:color="auto"/>
              <w:bottom w:val="single" w:sz="4" w:space="0" w:color="auto"/>
              <w:right w:val="single" w:sz="4" w:space="0" w:color="auto"/>
            </w:tcBorders>
            <w:vAlign w:val="center"/>
          </w:tcPr>
          <w:p w14:paraId="13657D11" w14:textId="77777777"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51710,8</w:t>
            </w:r>
          </w:p>
        </w:tc>
      </w:tr>
    </w:tbl>
    <w:p w14:paraId="1F1E738A" w14:textId="77777777" w:rsidR="004E7821" w:rsidRPr="0077776F" w:rsidRDefault="004E7821">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E43362B"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Исходя из анализа данных таблицы, прослеживается тенденция неравномерного изменения объема инвестиций по</w:t>
      </w:r>
      <w:r w:rsidR="00734F82" w:rsidRPr="0077776F">
        <w:rPr>
          <w:rFonts w:ascii="Times New Roman" w:hAnsi="Times New Roman" w:cs="Times New Roman"/>
          <w:sz w:val="28"/>
          <w:szCs w:val="28"/>
        </w:rPr>
        <w:t xml:space="preserve"> муниципальным районам и городским округам</w:t>
      </w:r>
      <w:r w:rsidRPr="0077776F">
        <w:rPr>
          <w:rFonts w:ascii="Times New Roman" w:hAnsi="Times New Roman" w:cs="Times New Roman"/>
          <w:sz w:val="28"/>
          <w:szCs w:val="28"/>
        </w:rPr>
        <w:t xml:space="preserve"> Курской области. В большинстве районов приток инвестиций увеличивается с приходом крупных инвестиционных компаний, реализующих проекты по строительству животноводческих комплексов, или предприятий перерабатывающей отрасли. Реализация инвестиционных проектов способствует росту показателей</w:t>
      </w:r>
      <w:r w:rsidR="00F258CA" w:rsidRPr="0077776F">
        <w:rPr>
          <w:rFonts w:ascii="Times New Roman" w:hAnsi="Times New Roman" w:cs="Times New Roman"/>
          <w:sz w:val="28"/>
          <w:szCs w:val="28"/>
        </w:rPr>
        <w:t xml:space="preserve"> </w:t>
      </w:r>
      <w:r w:rsidRPr="0077776F">
        <w:rPr>
          <w:rFonts w:ascii="Times New Roman" w:hAnsi="Times New Roman" w:cs="Times New Roman"/>
          <w:sz w:val="28"/>
          <w:szCs w:val="28"/>
        </w:rPr>
        <w:t xml:space="preserve">экономического и социального развития районов и области в целом. </w:t>
      </w:r>
    </w:p>
    <w:p w14:paraId="238202F0" w14:textId="77777777" w:rsidR="000911B2" w:rsidRPr="0077776F" w:rsidRDefault="000911B2" w:rsidP="00F258CA">
      <w:pPr>
        <w:autoSpaceDE w:val="0"/>
        <w:autoSpaceDN w:val="0"/>
        <w:adjustRightInd w:val="0"/>
        <w:spacing w:after="0" w:line="240" w:lineRule="auto"/>
        <w:ind w:firstLine="540"/>
        <w:jc w:val="center"/>
        <w:rPr>
          <w:rFonts w:ascii="Times New Roman" w:hAnsi="Times New Roman" w:cs="Times New Roman"/>
          <w:b/>
          <w:bCs/>
          <w:sz w:val="24"/>
          <w:szCs w:val="24"/>
        </w:rPr>
      </w:pPr>
      <w:bookmarkStart w:id="6" w:name="Par1337"/>
      <w:bookmarkEnd w:id="6"/>
    </w:p>
    <w:p w14:paraId="4DB779A5" w14:textId="77777777"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
          <w:bCs/>
          <w:sz w:val="24"/>
          <w:szCs w:val="24"/>
        </w:rPr>
      </w:pPr>
      <w:r w:rsidRPr="0077776F">
        <w:rPr>
          <w:rFonts w:ascii="Times New Roman" w:hAnsi="Times New Roman" w:cs="Times New Roman"/>
          <w:b/>
          <w:bCs/>
          <w:sz w:val="24"/>
          <w:szCs w:val="24"/>
        </w:rPr>
        <w:t xml:space="preserve">Инвестиции в основной капитал </w:t>
      </w:r>
    </w:p>
    <w:p w14:paraId="12C27B39" w14:textId="77777777"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
          <w:bCs/>
          <w:sz w:val="24"/>
          <w:szCs w:val="24"/>
        </w:rPr>
      </w:pPr>
      <w:r w:rsidRPr="0077776F">
        <w:rPr>
          <w:rFonts w:ascii="Times New Roman" w:hAnsi="Times New Roman" w:cs="Times New Roman"/>
          <w:b/>
          <w:bCs/>
          <w:sz w:val="24"/>
          <w:szCs w:val="24"/>
        </w:rPr>
        <w:t>по видам экономической деятельности</w:t>
      </w:r>
    </w:p>
    <w:p w14:paraId="49FDE9BC" w14:textId="77777777"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Cs/>
          <w:sz w:val="24"/>
          <w:szCs w:val="24"/>
        </w:rPr>
      </w:pPr>
      <w:r w:rsidRPr="0077776F">
        <w:rPr>
          <w:rFonts w:ascii="Times New Roman" w:hAnsi="Times New Roman" w:cs="Times New Roman"/>
          <w:bCs/>
          <w:sz w:val="24"/>
          <w:szCs w:val="24"/>
        </w:rPr>
        <w:t>(по крупным и средним организациям)</w:t>
      </w:r>
    </w:p>
    <w:p w14:paraId="2CFCBBB2" w14:textId="77777777" w:rsidR="00F258CA" w:rsidRPr="0077776F" w:rsidRDefault="00F258CA" w:rsidP="00F258CA">
      <w:pPr>
        <w:autoSpaceDE w:val="0"/>
        <w:autoSpaceDN w:val="0"/>
        <w:adjustRightInd w:val="0"/>
        <w:spacing w:after="0" w:line="240" w:lineRule="auto"/>
        <w:ind w:firstLine="540"/>
        <w:jc w:val="right"/>
        <w:rPr>
          <w:rFonts w:ascii="Times New Roman" w:hAnsi="Times New Roman" w:cs="Times New Roman"/>
          <w:sz w:val="24"/>
          <w:szCs w:val="24"/>
        </w:rPr>
      </w:pPr>
      <w:r w:rsidRPr="0077776F">
        <w:rPr>
          <w:rFonts w:ascii="Times New Roman" w:hAnsi="Times New Roman" w:cs="Times New Roman"/>
          <w:sz w:val="24"/>
          <w:szCs w:val="24"/>
        </w:rPr>
        <w:t>(млн. рублей)</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996"/>
        <w:gridCol w:w="1133"/>
        <w:gridCol w:w="1133"/>
        <w:gridCol w:w="996"/>
        <w:gridCol w:w="996"/>
      </w:tblGrid>
      <w:tr w:rsidR="00F258CA" w:rsidRPr="0077776F" w14:paraId="09C6DAE5" w14:textId="77777777" w:rsidTr="00F258CA">
        <w:trPr>
          <w:trHeight w:val="315"/>
          <w:tblHeader/>
        </w:trPr>
        <w:tc>
          <w:tcPr>
            <w:tcW w:w="3828" w:type="dxa"/>
            <w:vAlign w:val="center"/>
          </w:tcPr>
          <w:p w14:paraId="76B972CD"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Виды экономической деятельности</w:t>
            </w:r>
          </w:p>
        </w:tc>
        <w:tc>
          <w:tcPr>
            <w:tcW w:w="996" w:type="dxa"/>
            <w:vAlign w:val="center"/>
          </w:tcPr>
          <w:p w14:paraId="43762C31"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2011 г.</w:t>
            </w:r>
          </w:p>
        </w:tc>
        <w:tc>
          <w:tcPr>
            <w:tcW w:w="1133" w:type="dxa"/>
            <w:vAlign w:val="center"/>
          </w:tcPr>
          <w:p w14:paraId="278A283F"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2012 г.</w:t>
            </w:r>
          </w:p>
        </w:tc>
        <w:tc>
          <w:tcPr>
            <w:tcW w:w="1133" w:type="dxa"/>
            <w:vAlign w:val="center"/>
          </w:tcPr>
          <w:p w14:paraId="7A36C78F"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2013 г.</w:t>
            </w:r>
          </w:p>
        </w:tc>
        <w:tc>
          <w:tcPr>
            <w:tcW w:w="996" w:type="dxa"/>
            <w:vAlign w:val="center"/>
          </w:tcPr>
          <w:p w14:paraId="2292AE84"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2014 г.</w:t>
            </w:r>
          </w:p>
        </w:tc>
        <w:tc>
          <w:tcPr>
            <w:tcW w:w="996" w:type="dxa"/>
            <w:vAlign w:val="center"/>
          </w:tcPr>
          <w:p w14:paraId="703DB147"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2015 г.</w:t>
            </w:r>
          </w:p>
        </w:tc>
      </w:tr>
      <w:tr w:rsidR="00F258CA" w:rsidRPr="0077776F" w14:paraId="63105F02" w14:textId="77777777" w:rsidTr="00F258CA">
        <w:trPr>
          <w:trHeight w:val="315"/>
        </w:trPr>
        <w:tc>
          <w:tcPr>
            <w:tcW w:w="3828" w:type="dxa"/>
            <w:vAlign w:val="center"/>
          </w:tcPr>
          <w:p w14:paraId="2CC83E76"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Сельское хозяйство, охота и лесное хозяйство</w:t>
            </w:r>
          </w:p>
        </w:tc>
        <w:tc>
          <w:tcPr>
            <w:tcW w:w="996" w:type="dxa"/>
            <w:vAlign w:val="center"/>
          </w:tcPr>
          <w:p w14:paraId="19110259"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12001,1</w:t>
            </w:r>
          </w:p>
        </w:tc>
        <w:tc>
          <w:tcPr>
            <w:tcW w:w="1133" w:type="dxa"/>
            <w:vAlign w:val="center"/>
          </w:tcPr>
          <w:p w14:paraId="3C93BCC4"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12462,0</w:t>
            </w:r>
          </w:p>
        </w:tc>
        <w:tc>
          <w:tcPr>
            <w:tcW w:w="1133" w:type="dxa"/>
            <w:vAlign w:val="center"/>
          </w:tcPr>
          <w:p w14:paraId="0ABD7A08"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14891,8</w:t>
            </w:r>
          </w:p>
        </w:tc>
        <w:tc>
          <w:tcPr>
            <w:tcW w:w="996" w:type="dxa"/>
            <w:vAlign w:val="center"/>
          </w:tcPr>
          <w:p w14:paraId="21FF3BAE"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6876,1</w:t>
            </w:r>
          </w:p>
        </w:tc>
        <w:tc>
          <w:tcPr>
            <w:tcW w:w="996" w:type="dxa"/>
            <w:vAlign w:val="center"/>
          </w:tcPr>
          <w:p w14:paraId="57A15395"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8323,3</w:t>
            </w:r>
          </w:p>
        </w:tc>
      </w:tr>
      <w:tr w:rsidR="00F258CA" w:rsidRPr="0077776F" w14:paraId="02B43173" w14:textId="77777777" w:rsidTr="00F258CA">
        <w:trPr>
          <w:trHeight w:val="315"/>
        </w:trPr>
        <w:tc>
          <w:tcPr>
            <w:tcW w:w="3828" w:type="dxa"/>
            <w:vAlign w:val="center"/>
          </w:tcPr>
          <w:p w14:paraId="0619AE71"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Рыболовство, рыбоводство</w:t>
            </w:r>
          </w:p>
        </w:tc>
        <w:tc>
          <w:tcPr>
            <w:tcW w:w="996" w:type="dxa"/>
            <w:vAlign w:val="center"/>
          </w:tcPr>
          <w:p w14:paraId="2245C8F2"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0,2</w:t>
            </w:r>
          </w:p>
        </w:tc>
        <w:tc>
          <w:tcPr>
            <w:tcW w:w="1133" w:type="dxa"/>
            <w:vAlign w:val="center"/>
          </w:tcPr>
          <w:p w14:paraId="6A3A9F9D"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1133" w:type="dxa"/>
            <w:vAlign w:val="center"/>
          </w:tcPr>
          <w:p w14:paraId="660A309C"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996" w:type="dxa"/>
            <w:vAlign w:val="center"/>
          </w:tcPr>
          <w:p w14:paraId="2FF7C410"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996" w:type="dxa"/>
            <w:vAlign w:val="center"/>
          </w:tcPr>
          <w:p w14:paraId="4F296929" w14:textId="77777777"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14:paraId="3ED5030A" w14:textId="77777777" w:rsidTr="00F258CA">
        <w:trPr>
          <w:trHeight w:val="315"/>
        </w:trPr>
        <w:tc>
          <w:tcPr>
            <w:tcW w:w="3828" w:type="dxa"/>
            <w:vAlign w:val="center"/>
          </w:tcPr>
          <w:p w14:paraId="55D9BD4D"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Добыча полезных ископаемых </w:t>
            </w:r>
            <w:r w:rsidRPr="0077776F">
              <w:rPr>
                <w:rFonts w:ascii="Times New Roman" w:hAnsi="Times New Roman" w:cs="Times New Roman"/>
                <w:color w:val="000000"/>
                <w:sz w:val="24"/>
                <w:szCs w:val="24"/>
                <w:vertAlign w:val="superscript"/>
              </w:rPr>
              <w:t>1)</w:t>
            </w:r>
          </w:p>
        </w:tc>
        <w:tc>
          <w:tcPr>
            <w:tcW w:w="996" w:type="dxa"/>
            <w:vAlign w:val="center"/>
          </w:tcPr>
          <w:p w14:paraId="1D40197B" w14:textId="77777777"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14:paraId="3F1E3A62" w14:textId="77777777"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14:paraId="05B28C02" w14:textId="77777777"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14:paraId="2DB1EA5D" w14:textId="77777777"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14:paraId="1D78D01F" w14:textId="77777777"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14:paraId="4337AFEB" w14:textId="77777777" w:rsidTr="00F258CA">
        <w:trPr>
          <w:trHeight w:val="315"/>
        </w:trPr>
        <w:tc>
          <w:tcPr>
            <w:tcW w:w="3828" w:type="dxa"/>
            <w:vAlign w:val="center"/>
          </w:tcPr>
          <w:p w14:paraId="0CE25EF1"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Обрабатывающие производства</w:t>
            </w:r>
          </w:p>
        </w:tc>
        <w:tc>
          <w:tcPr>
            <w:tcW w:w="996" w:type="dxa"/>
            <w:vAlign w:val="center"/>
          </w:tcPr>
          <w:p w14:paraId="636101E4"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10295,6</w:t>
            </w:r>
          </w:p>
        </w:tc>
        <w:tc>
          <w:tcPr>
            <w:tcW w:w="1133" w:type="dxa"/>
            <w:vAlign w:val="center"/>
          </w:tcPr>
          <w:p w14:paraId="1B926677"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9404,1</w:t>
            </w:r>
          </w:p>
        </w:tc>
        <w:tc>
          <w:tcPr>
            <w:tcW w:w="1133" w:type="dxa"/>
            <w:vAlign w:val="center"/>
          </w:tcPr>
          <w:p w14:paraId="5A71A684"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7745,6</w:t>
            </w:r>
          </w:p>
        </w:tc>
        <w:tc>
          <w:tcPr>
            <w:tcW w:w="996" w:type="dxa"/>
            <w:vAlign w:val="center"/>
          </w:tcPr>
          <w:p w14:paraId="550DF423"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7251,2</w:t>
            </w:r>
          </w:p>
        </w:tc>
        <w:tc>
          <w:tcPr>
            <w:tcW w:w="996" w:type="dxa"/>
            <w:vAlign w:val="center"/>
          </w:tcPr>
          <w:p w14:paraId="135BC8EC"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8280,8</w:t>
            </w:r>
          </w:p>
        </w:tc>
      </w:tr>
      <w:tr w:rsidR="00F258CA" w:rsidRPr="0077776F" w14:paraId="7512465E" w14:textId="77777777" w:rsidTr="00F258CA">
        <w:trPr>
          <w:trHeight w:val="315"/>
        </w:trPr>
        <w:tc>
          <w:tcPr>
            <w:tcW w:w="3828" w:type="dxa"/>
            <w:vAlign w:val="center"/>
          </w:tcPr>
          <w:p w14:paraId="4A64AE53"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Производство и распределение энергии, газа и воды</w:t>
            </w:r>
          </w:p>
        </w:tc>
        <w:tc>
          <w:tcPr>
            <w:tcW w:w="996" w:type="dxa"/>
            <w:vAlign w:val="center"/>
          </w:tcPr>
          <w:p w14:paraId="13808BD5"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9433,2</w:t>
            </w:r>
          </w:p>
        </w:tc>
        <w:tc>
          <w:tcPr>
            <w:tcW w:w="1133" w:type="dxa"/>
            <w:vAlign w:val="center"/>
          </w:tcPr>
          <w:p w14:paraId="45813083"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8972,8</w:t>
            </w:r>
          </w:p>
        </w:tc>
        <w:tc>
          <w:tcPr>
            <w:tcW w:w="1133" w:type="dxa"/>
            <w:vAlign w:val="center"/>
          </w:tcPr>
          <w:p w14:paraId="082EEC08"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11464,6</w:t>
            </w:r>
          </w:p>
        </w:tc>
        <w:tc>
          <w:tcPr>
            <w:tcW w:w="996" w:type="dxa"/>
            <w:vAlign w:val="center"/>
          </w:tcPr>
          <w:p w14:paraId="0B21AB9A"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13507,8</w:t>
            </w:r>
          </w:p>
        </w:tc>
        <w:tc>
          <w:tcPr>
            <w:tcW w:w="996" w:type="dxa"/>
            <w:vAlign w:val="center"/>
          </w:tcPr>
          <w:p w14:paraId="25C0EB5E"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13206,2</w:t>
            </w:r>
          </w:p>
        </w:tc>
      </w:tr>
      <w:tr w:rsidR="00F258CA" w:rsidRPr="0077776F" w14:paraId="2EAC4FE9" w14:textId="77777777" w:rsidTr="00F258CA">
        <w:trPr>
          <w:trHeight w:val="315"/>
        </w:trPr>
        <w:tc>
          <w:tcPr>
            <w:tcW w:w="3828" w:type="dxa"/>
            <w:vAlign w:val="center"/>
          </w:tcPr>
          <w:p w14:paraId="59228074"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Строительство</w:t>
            </w:r>
          </w:p>
        </w:tc>
        <w:tc>
          <w:tcPr>
            <w:tcW w:w="996" w:type="dxa"/>
            <w:vAlign w:val="center"/>
          </w:tcPr>
          <w:p w14:paraId="1BA6C92B"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1779,7</w:t>
            </w:r>
          </w:p>
        </w:tc>
        <w:tc>
          <w:tcPr>
            <w:tcW w:w="1133" w:type="dxa"/>
            <w:vAlign w:val="center"/>
          </w:tcPr>
          <w:p w14:paraId="68804718"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1299,5</w:t>
            </w:r>
          </w:p>
        </w:tc>
        <w:tc>
          <w:tcPr>
            <w:tcW w:w="1133" w:type="dxa"/>
            <w:vAlign w:val="center"/>
          </w:tcPr>
          <w:p w14:paraId="1C3440B5"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452,7</w:t>
            </w:r>
          </w:p>
        </w:tc>
        <w:tc>
          <w:tcPr>
            <w:tcW w:w="996" w:type="dxa"/>
            <w:vAlign w:val="center"/>
          </w:tcPr>
          <w:p w14:paraId="1BA32331"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538,5</w:t>
            </w:r>
          </w:p>
        </w:tc>
        <w:tc>
          <w:tcPr>
            <w:tcW w:w="996" w:type="dxa"/>
            <w:vAlign w:val="center"/>
          </w:tcPr>
          <w:p w14:paraId="5C89D48F"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277,5</w:t>
            </w:r>
          </w:p>
        </w:tc>
      </w:tr>
      <w:tr w:rsidR="00F258CA" w:rsidRPr="0077776F" w14:paraId="1560B5AE" w14:textId="77777777" w:rsidTr="00F258CA">
        <w:trPr>
          <w:trHeight w:val="315"/>
        </w:trPr>
        <w:tc>
          <w:tcPr>
            <w:tcW w:w="3828" w:type="dxa"/>
            <w:vAlign w:val="center"/>
          </w:tcPr>
          <w:p w14:paraId="23826EF2"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996" w:type="dxa"/>
            <w:vAlign w:val="center"/>
          </w:tcPr>
          <w:p w14:paraId="5DE6F076"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2192,7</w:t>
            </w:r>
          </w:p>
        </w:tc>
        <w:tc>
          <w:tcPr>
            <w:tcW w:w="1133" w:type="dxa"/>
            <w:vAlign w:val="center"/>
          </w:tcPr>
          <w:p w14:paraId="7FA3C1B2"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1747,3</w:t>
            </w:r>
          </w:p>
        </w:tc>
        <w:tc>
          <w:tcPr>
            <w:tcW w:w="1133" w:type="dxa"/>
            <w:vAlign w:val="center"/>
          </w:tcPr>
          <w:p w14:paraId="484AB9E8"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2674,4</w:t>
            </w:r>
          </w:p>
        </w:tc>
        <w:tc>
          <w:tcPr>
            <w:tcW w:w="996" w:type="dxa"/>
            <w:vAlign w:val="center"/>
          </w:tcPr>
          <w:p w14:paraId="75CAD703"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2896,1</w:t>
            </w:r>
          </w:p>
        </w:tc>
        <w:tc>
          <w:tcPr>
            <w:tcW w:w="996" w:type="dxa"/>
            <w:vAlign w:val="center"/>
          </w:tcPr>
          <w:p w14:paraId="01A79736"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2328,3</w:t>
            </w:r>
          </w:p>
        </w:tc>
      </w:tr>
      <w:tr w:rsidR="00F258CA" w:rsidRPr="0077776F" w14:paraId="29C3A918" w14:textId="77777777" w:rsidTr="00F258CA">
        <w:trPr>
          <w:trHeight w:val="315"/>
        </w:trPr>
        <w:tc>
          <w:tcPr>
            <w:tcW w:w="3828" w:type="dxa"/>
            <w:vAlign w:val="center"/>
          </w:tcPr>
          <w:p w14:paraId="3A269D7E"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Гостиницы и рестораны </w:t>
            </w:r>
            <w:r w:rsidRPr="0077776F">
              <w:rPr>
                <w:rFonts w:ascii="Times New Roman" w:hAnsi="Times New Roman" w:cs="Times New Roman"/>
                <w:color w:val="000000"/>
                <w:sz w:val="24"/>
                <w:szCs w:val="24"/>
                <w:vertAlign w:val="superscript"/>
              </w:rPr>
              <w:t>1)</w:t>
            </w:r>
          </w:p>
        </w:tc>
        <w:tc>
          <w:tcPr>
            <w:tcW w:w="996" w:type="dxa"/>
            <w:vAlign w:val="center"/>
          </w:tcPr>
          <w:p w14:paraId="7674C279" w14:textId="77777777"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14:paraId="7855A06D" w14:textId="77777777"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14:paraId="07F87B33" w14:textId="77777777"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14:paraId="629B01E8" w14:textId="77777777"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14:paraId="6FA50BD4" w14:textId="77777777"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14:paraId="1B76C7FE" w14:textId="77777777" w:rsidTr="00F258CA">
        <w:trPr>
          <w:trHeight w:val="315"/>
        </w:trPr>
        <w:tc>
          <w:tcPr>
            <w:tcW w:w="3828" w:type="dxa"/>
            <w:vAlign w:val="center"/>
          </w:tcPr>
          <w:p w14:paraId="523AD8E8"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lastRenderedPageBreak/>
              <w:t>Транспорт и связь</w:t>
            </w:r>
          </w:p>
        </w:tc>
        <w:tc>
          <w:tcPr>
            <w:tcW w:w="996" w:type="dxa"/>
            <w:vAlign w:val="center"/>
          </w:tcPr>
          <w:p w14:paraId="36A0184B"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3258,9</w:t>
            </w:r>
          </w:p>
        </w:tc>
        <w:tc>
          <w:tcPr>
            <w:tcW w:w="1133" w:type="dxa"/>
            <w:vAlign w:val="center"/>
          </w:tcPr>
          <w:p w14:paraId="36D0D12F"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2140,8</w:t>
            </w:r>
          </w:p>
        </w:tc>
        <w:tc>
          <w:tcPr>
            <w:tcW w:w="1133" w:type="dxa"/>
            <w:vAlign w:val="center"/>
          </w:tcPr>
          <w:p w14:paraId="03F5CD0C"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2609,5</w:t>
            </w:r>
          </w:p>
        </w:tc>
        <w:tc>
          <w:tcPr>
            <w:tcW w:w="996" w:type="dxa"/>
            <w:vAlign w:val="center"/>
          </w:tcPr>
          <w:p w14:paraId="07C7F817"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5262,4</w:t>
            </w:r>
          </w:p>
        </w:tc>
        <w:tc>
          <w:tcPr>
            <w:tcW w:w="996" w:type="dxa"/>
            <w:vAlign w:val="center"/>
          </w:tcPr>
          <w:p w14:paraId="1D853CB6"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3582,6</w:t>
            </w:r>
          </w:p>
        </w:tc>
      </w:tr>
      <w:tr w:rsidR="00F258CA" w:rsidRPr="0077776F" w14:paraId="479DE87D" w14:textId="77777777" w:rsidTr="00F258CA">
        <w:trPr>
          <w:trHeight w:val="315"/>
        </w:trPr>
        <w:tc>
          <w:tcPr>
            <w:tcW w:w="3828" w:type="dxa"/>
            <w:vAlign w:val="center"/>
          </w:tcPr>
          <w:p w14:paraId="36E325C1"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Финансовая деятельность</w:t>
            </w:r>
          </w:p>
        </w:tc>
        <w:tc>
          <w:tcPr>
            <w:tcW w:w="996" w:type="dxa"/>
            <w:vAlign w:val="center"/>
          </w:tcPr>
          <w:p w14:paraId="432C25B8"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528,9</w:t>
            </w:r>
          </w:p>
        </w:tc>
        <w:tc>
          <w:tcPr>
            <w:tcW w:w="1133" w:type="dxa"/>
            <w:vAlign w:val="center"/>
          </w:tcPr>
          <w:p w14:paraId="0FAFDE10"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897,5</w:t>
            </w:r>
          </w:p>
        </w:tc>
        <w:tc>
          <w:tcPr>
            <w:tcW w:w="1133" w:type="dxa"/>
            <w:vAlign w:val="center"/>
          </w:tcPr>
          <w:p w14:paraId="68E6B399"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734,7</w:t>
            </w:r>
          </w:p>
        </w:tc>
        <w:tc>
          <w:tcPr>
            <w:tcW w:w="996" w:type="dxa"/>
            <w:vAlign w:val="center"/>
          </w:tcPr>
          <w:p w14:paraId="7584DFBA"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255,8</w:t>
            </w:r>
          </w:p>
        </w:tc>
        <w:tc>
          <w:tcPr>
            <w:tcW w:w="996" w:type="dxa"/>
            <w:vAlign w:val="center"/>
          </w:tcPr>
          <w:p w14:paraId="0587D909"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140,5</w:t>
            </w:r>
          </w:p>
        </w:tc>
      </w:tr>
      <w:tr w:rsidR="00F258CA" w:rsidRPr="0077776F" w14:paraId="4C906E3A" w14:textId="77777777" w:rsidTr="00F258CA">
        <w:trPr>
          <w:trHeight w:val="315"/>
        </w:trPr>
        <w:tc>
          <w:tcPr>
            <w:tcW w:w="3828" w:type="dxa"/>
            <w:vAlign w:val="center"/>
          </w:tcPr>
          <w:p w14:paraId="0FECE26C"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Операции с недвижимым имуществом, аренда и предоставление услуг </w:t>
            </w:r>
          </w:p>
        </w:tc>
        <w:tc>
          <w:tcPr>
            <w:tcW w:w="996" w:type="dxa"/>
            <w:vAlign w:val="center"/>
          </w:tcPr>
          <w:p w14:paraId="0DB70900"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4860,7</w:t>
            </w:r>
          </w:p>
        </w:tc>
        <w:tc>
          <w:tcPr>
            <w:tcW w:w="1133" w:type="dxa"/>
            <w:vAlign w:val="center"/>
          </w:tcPr>
          <w:p w14:paraId="41E10E94"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5545,8</w:t>
            </w:r>
          </w:p>
        </w:tc>
        <w:tc>
          <w:tcPr>
            <w:tcW w:w="1133" w:type="dxa"/>
            <w:vAlign w:val="center"/>
          </w:tcPr>
          <w:p w14:paraId="71F92BD7"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5988,9</w:t>
            </w:r>
          </w:p>
        </w:tc>
        <w:tc>
          <w:tcPr>
            <w:tcW w:w="996" w:type="dxa"/>
            <w:vAlign w:val="center"/>
          </w:tcPr>
          <w:p w14:paraId="7F13BC68"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6745,6</w:t>
            </w:r>
          </w:p>
        </w:tc>
        <w:tc>
          <w:tcPr>
            <w:tcW w:w="996" w:type="dxa"/>
            <w:vAlign w:val="center"/>
          </w:tcPr>
          <w:p w14:paraId="332FD1CD"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5422,3</w:t>
            </w:r>
          </w:p>
        </w:tc>
      </w:tr>
      <w:tr w:rsidR="00F258CA" w:rsidRPr="0077776F" w14:paraId="45679643" w14:textId="77777777" w:rsidTr="00F258CA">
        <w:trPr>
          <w:trHeight w:val="315"/>
        </w:trPr>
        <w:tc>
          <w:tcPr>
            <w:tcW w:w="3828" w:type="dxa"/>
            <w:vAlign w:val="center"/>
          </w:tcPr>
          <w:p w14:paraId="5BE18F38"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Государственное управление и обеспечение военной безопасности; социальное страхование</w:t>
            </w:r>
          </w:p>
        </w:tc>
        <w:tc>
          <w:tcPr>
            <w:tcW w:w="996" w:type="dxa"/>
            <w:vAlign w:val="center"/>
          </w:tcPr>
          <w:p w14:paraId="7740439D"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1015,7</w:t>
            </w:r>
          </w:p>
        </w:tc>
        <w:tc>
          <w:tcPr>
            <w:tcW w:w="1133" w:type="dxa"/>
            <w:vAlign w:val="center"/>
          </w:tcPr>
          <w:p w14:paraId="776EC9EE"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664,5</w:t>
            </w:r>
          </w:p>
        </w:tc>
        <w:tc>
          <w:tcPr>
            <w:tcW w:w="1133" w:type="dxa"/>
            <w:vAlign w:val="center"/>
          </w:tcPr>
          <w:p w14:paraId="70459EE0"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635,4</w:t>
            </w:r>
          </w:p>
        </w:tc>
        <w:tc>
          <w:tcPr>
            <w:tcW w:w="996" w:type="dxa"/>
            <w:vAlign w:val="center"/>
          </w:tcPr>
          <w:p w14:paraId="39ECFB79"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400,0</w:t>
            </w:r>
          </w:p>
        </w:tc>
        <w:tc>
          <w:tcPr>
            <w:tcW w:w="996" w:type="dxa"/>
            <w:vAlign w:val="center"/>
          </w:tcPr>
          <w:p w14:paraId="537833C9"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303,7</w:t>
            </w:r>
          </w:p>
        </w:tc>
      </w:tr>
      <w:tr w:rsidR="00F258CA" w:rsidRPr="0077776F" w14:paraId="51318676" w14:textId="77777777" w:rsidTr="00F258CA">
        <w:trPr>
          <w:trHeight w:val="315"/>
        </w:trPr>
        <w:tc>
          <w:tcPr>
            <w:tcW w:w="3828" w:type="dxa"/>
            <w:vAlign w:val="center"/>
          </w:tcPr>
          <w:p w14:paraId="31FC65ED"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Образование</w:t>
            </w:r>
          </w:p>
        </w:tc>
        <w:tc>
          <w:tcPr>
            <w:tcW w:w="996" w:type="dxa"/>
            <w:vAlign w:val="center"/>
          </w:tcPr>
          <w:p w14:paraId="3ADF09EB"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659,7</w:t>
            </w:r>
          </w:p>
        </w:tc>
        <w:tc>
          <w:tcPr>
            <w:tcW w:w="1133" w:type="dxa"/>
            <w:vAlign w:val="center"/>
          </w:tcPr>
          <w:p w14:paraId="198C4787"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1047,1</w:t>
            </w:r>
          </w:p>
        </w:tc>
        <w:tc>
          <w:tcPr>
            <w:tcW w:w="1133" w:type="dxa"/>
            <w:vAlign w:val="center"/>
          </w:tcPr>
          <w:p w14:paraId="35A0C0A3"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1917,4</w:t>
            </w:r>
          </w:p>
        </w:tc>
        <w:tc>
          <w:tcPr>
            <w:tcW w:w="996" w:type="dxa"/>
            <w:vAlign w:val="center"/>
          </w:tcPr>
          <w:p w14:paraId="730B08B3"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1569,8</w:t>
            </w:r>
          </w:p>
        </w:tc>
        <w:tc>
          <w:tcPr>
            <w:tcW w:w="996" w:type="dxa"/>
            <w:vAlign w:val="center"/>
          </w:tcPr>
          <w:p w14:paraId="0959B2EB"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1470,9</w:t>
            </w:r>
          </w:p>
        </w:tc>
      </w:tr>
      <w:tr w:rsidR="00F258CA" w:rsidRPr="0077776F" w14:paraId="384F8057" w14:textId="77777777" w:rsidTr="00F258CA">
        <w:trPr>
          <w:trHeight w:val="315"/>
        </w:trPr>
        <w:tc>
          <w:tcPr>
            <w:tcW w:w="3828" w:type="dxa"/>
            <w:vAlign w:val="center"/>
          </w:tcPr>
          <w:p w14:paraId="74003355"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Здравоохранение и предоставление социальных услуг</w:t>
            </w:r>
          </w:p>
        </w:tc>
        <w:tc>
          <w:tcPr>
            <w:tcW w:w="996" w:type="dxa"/>
            <w:vAlign w:val="center"/>
          </w:tcPr>
          <w:p w14:paraId="46BE353F"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2005,2</w:t>
            </w:r>
          </w:p>
        </w:tc>
        <w:tc>
          <w:tcPr>
            <w:tcW w:w="1133" w:type="dxa"/>
            <w:vAlign w:val="center"/>
          </w:tcPr>
          <w:p w14:paraId="0A0D84FC"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1455,9</w:t>
            </w:r>
          </w:p>
        </w:tc>
        <w:tc>
          <w:tcPr>
            <w:tcW w:w="1133" w:type="dxa"/>
            <w:vAlign w:val="center"/>
          </w:tcPr>
          <w:p w14:paraId="43B37BE2"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1164,2</w:t>
            </w:r>
          </w:p>
        </w:tc>
        <w:tc>
          <w:tcPr>
            <w:tcW w:w="996" w:type="dxa"/>
            <w:vAlign w:val="center"/>
          </w:tcPr>
          <w:p w14:paraId="57A459C1"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1584,4</w:t>
            </w:r>
          </w:p>
        </w:tc>
        <w:tc>
          <w:tcPr>
            <w:tcW w:w="996" w:type="dxa"/>
            <w:vAlign w:val="center"/>
          </w:tcPr>
          <w:p w14:paraId="571413FC"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700,8</w:t>
            </w:r>
          </w:p>
        </w:tc>
      </w:tr>
      <w:tr w:rsidR="00F258CA" w:rsidRPr="0077776F" w14:paraId="39821CAE" w14:textId="77777777" w:rsidTr="00F258CA">
        <w:trPr>
          <w:trHeight w:val="315"/>
        </w:trPr>
        <w:tc>
          <w:tcPr>
            <w:tcW w:w="3828" w:type="dxa"/>
            <w:vAlign w:val="center"/>
          </w:tcPr>
          <w:p w14:paraId="5CFB629E"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Предоставление прочих коммунальных услуг, социальных и персональных услуг</w:t>
            </w:r>
          </w:p>
        </w:tc>
        <w:tc>
          <w:tcPr>
            <w:tcW w:w="996" w:type="dxa"/>
            <w:vAlign w:val="center"/>
          </w:tcPr>
          <w:p w14:paraId="33033F82"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814,2</w:t>
            </w:r>
          </w:p>
        </w:tc>
        <w:tc>
          <w:tcPr>
            <w:tcW w:w="1133" w:type="dxa"/>
            <w:vAlign w:val="center"/>
          </w:tcPr>
          <w:p w14:paraId="1EA83E96"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777,0</w:t>
            </w:r>
          </w:p>
        </w:tc>
        <w:tc>
          <w:tcPr>
            <w:tcW w:w="1133" w:type="dxa"/>
            <w:vAlign w:val="center"/>
          </w:tcPr>
          <w:p w14:paraId="3775CA99"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1036,0</w:t>
            </w:r>
          </w:p>
        </w:tc>
        <w:tc>
          <w:tcPr>
            <w:tcW w:w="996" w:type="dxa"/>
            <w:vAlign w:val="center"/>
          </w:tcPr>
          <w:p w14:paraId="3CEA1BB6"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3225,9</w:t>
            </w:r>
          </w:p>
        </w:tc>
        <w:tc>
          <w:tcPr>
            <w:tcW w:w="996" w:type="dxa"/>
            <w:vAlign w:val="center"/>
          </w:tcPr>
          <w:p w14:paraId="7C35DD92"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4276,6</w:t>
            </w:r>
          </w:p>
        </w:tc>
      </w:tr>
      <w:tr w:rsidR="00F258CA" w:rsidRPr="0077776F" w14:paraId="2DBB1218" w14:textId="77777777" w:rsidTr="00F258CA">
        <w:trPr>
          <w:trHeight w:val="315"/>
        </w:trPr>
        <w:tc>
          <w:tcPr>
            <w:tcW w:w="3828" w:type="dxa"/>
            <w:vAlign w:val="center"/>
          </w:tcPr>
          <w:p w14:paraId="4F9315C1"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ИТОГО по крупным и средним организациям</w:t>
            </w:r>
          </w:p>
        </w:tc>
        <w:tc>
          <w:tcPr>
            <w:tcW w:w="996" w:type="dxa"/>
            <w:vAlign w:val="center"/>
          </w:tcPr>
          <w:p w14:paraId="58B65F15"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49962,8</w:t>
            </w:r>
          </w:p>
        </w:tc>
        <w:tc>
          <w:tcPr>
            <w:tcW w:w="1133" w:type="dxa"/>
            <w:vAlign w:val="center"/>
          </w:tcPr>
          <w:p w14:paraId="676A9DE4"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53361,4</w:t>
            </w:r>
          </w:p>
        </w:tc>
        <w:tc>
          <w:tcPr>
            <w:tcW w:w="1133" w:type="dxa"/>
            <w:vAlign w:val="center"/>
          </w:tcPr>
          <w:p w14:paraId="003817F0"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54879,5</w:t>
            </w:r>
          </w:p>
        </w:tc>
        <w:tc>
          <w:tcPr>
            <w:tcW w:w="996" w:type="dxa"/>
            <w:vAlign w:val="center"/>
          </w:tcPr>
          <w:p w14:paraId="02FAF914"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55382,0</w:t>
            </w:r>
          </w:p>
        </w:tc>
        <w:tc>
          <w:tcPr>
            <w:tcW w:w="996" w:type="dxa"/>
            <w:vAlign w:val="center"/>
          </w:tcPr>
          <w:p w14:paraId="71323228"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51710,8</w:t>
            </w:r>
          </w:p>
        </w:tc>
      </w:tr>
      <w:tr w:rsidR="00F258CA" w:rsidRPr="0077776F" w14:paraId="4B5D8C01" w14:textId="77777777" w:rsidTr="00F258CA">
        <w:trPr>
          <w:trHeight w:val="315"/>
        </w:trPr>
        <w:tc>
          <w:tcPr>
            <w:tcW w:w="3828" w:type="dxa"/>
            <w:vAlign w:val="center"/>
          </w:tcPr>
          <w:p w14:paraId="7CB1FA28" w14:textId="77777777"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ВСЕГО  ПО ОБЛАСТИ  </w:t>
            </w:r>
          </w:p>
        </w:tc>
        <w:tc>
          <w:tcPr>
            <w:tcW w:w="996" w:type="dxa"/>
            <w:vAlign w:val="center"/>
          </w:tcPr>
          <w:p w14:paraId="52D6CFC2"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58520,5</w:t>
            </w:r>
          </w:p>
        </w:tc>
        <w:tc>
          <w:tcPr>
            <w:tcW w:w="1133" w:type="dxa"/>
            <w:vAlign w:val="center"/>
          </w:tcPr>
          <w:p w14:paraId="15ED2FCD"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66639,2</w:t>
            </w:r>
          </w:p>
        </w:tc>
        <w:tc>
          <w:tcPr>
            <w:tcW w:w="1133" w:type="dxa"/>
            <w:vAlign w:val="center"/>
          </w:tcPr>
          <w:p w14:paraId="474F9BA5"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71545,7</w:t>
            </w:r>
          </w:p>
        </w:tc>
        <w:tc>
          <w:tcPr>
            <w:tcW w:w="996" w:type="dxa"/>
            <w:vAlign w:val="center"/>
          </w:tcPr>
          <w:p w14:paraId="5412F06B"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73695,2</w:t>
            </w:r>
          </w:p>
        </w:tc>
        <w:tc>
          <w:tcPr>
            <w:tcW w:w="996" w:type="dxa"/>
            <w:vAlign w:val="center"/>
          </w:tcPr>
          <w:p w14:paraId="759E0CCA" w14:textId="77777777"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70378,4</w:t>
            </w:r>
          </w:p>
        </w:tc>
      </w:tr>
    </w:tbl>
    <w:p w14:paraId="5ED0EE7C" w14:textId="77777777" w:rsidR="00F258CA" w:rsidRPr="0077776F" w:rsidRDefault="00F258CA" w:rsidP="00F258CA">
      <w:pPr>
        <w:autoSpaceDE w:val="0"/>
        <w:autoSpaceDN w:val="0"/>
        <w:adjustRightInd w:val="0"/>
        <w:spacing w:after="0" w:line="240" w:lineRule="auto"/>
        <w:ind w:firstLine="540"/>
        <w:jc w:val="both"/>
        <w:rPr>
          <w:rFonts w:ascii="Times New Roman" w:hAnsi="Times New Roman" w:cs="Times New Roman"/>
          <w:sz w:val="20"/>
          <w:szCs w:val="20"/>
        </w:rPr>
      </w:pPr>
      <w:r w:rsidRPr="0077776F">
        <w:rPr>
          <w:rFonts w:ascii="Times New Roman" w:hAnsi="Times New Roman" w:cs="Times New Roman"/>
          <w:color w:val="000000"/>
          <w:sz w:val="20"/>
          <w:szCs w:val="20"/>
          <w:vertAlign w:val="superscript"/>
        </w:rPr>
        <w:t xml:space="preserve">1)  </w:t>
      </w:r>
      <w:r w:rsidRPr="0077776F">
        <w:rPr>
          <w:rFonts w:ascii="Times New Roman" w:hAnsi="Times New Roman" w:cs="Times New Roman"/>
          <w:color w:val="000000"/>
          <w:sz w:val="20"/>
          <w:szCs w:val="20"/>
        </w:rPr>
        <w:t xml:space="preserve">Данные </w:t>
      </w:r>
      <w:r w:rsidR="001671F4" w:rsidRPr="0077776F">
        <w:rPr>
          <w:rFonts w:ascii="Times New Roman" w:hAnsi="Times New Roman" w:cs="Times New Roman"/>
          <w:color w:val="000000"/>
          <w:sz w:val="20"/>
          <w:szCs w:val="20"/>
        </w:rPr>
        <w:t>отсутствуют в связи с</w:t>
      </w:r>
      <w:r w:rsidRPr="0077776F">
        <w:rPr>
          <w:rFonts w:ascii="Times New Roman" w:hAnsi="Times New Roman" w:cs="Times New Roman"/>
          <w:color w:val="000000"/>
          <w:sz w:val="20"/>
          <w:szCs w:val="20"/>
        </w:rPr>
        <w:t xml:space="preserve"> конфиденциальност</w:t>
      </w:r>
      <w:r w:rsidR="001671F4" w:rsidRPr="0077776F">
        <w:rPr>
          <w:rFonts w:ascii="Times New Roman" w:hAnsi="Times New Roman" w:cs="Times New Roman"/>
          <w:color w:val="000000"/>
          <w:sz w:val="20"/>
          <w:szCs w:val="20"/>
        </w:rPr>
        <w:t>ью</w:t>
      </w:r>
      <w:r w:rsidRPr="0077776F">
        <w:rPr>
          <w:rFonts w:ascii="Times New Roman" w:hAnsi="Times New Roman" w:cs="Times New Roman"/>
          <w:color w:val="000000"/>
          <w:sz w:val="20"/>
          <w:szCs w:val="20"/>
        </w:rPr>
        <w:t xml:space="preserve"> первичных статистических данных, полученных от организаций, в соответствии с Федеральным законом от 29.11.</w:t>
      </w:r>
      <w:r w:rsidR="00BF5062" w:rsidRPr="0077776F">
        <w:rPr>
          <w:rFonts w:ascii="Times New Roman" w:hAnsi="Times New Roman" w:cs="Times New Roman"/>
          <w:color w:val="000000"/>
          <w:sz w:val="20"/>
          <w:szCs w:val="20"/>
        </w:rPr>
        <w:t>20</w:t>
      </w:r>
      <w:r w:rsidRPr="0077776F">
        <w:rPr>
          <w:rFonts w:ascii="Times New Roman" w:hAnsi="Times New Roman" w:cs="Times New Roman"/>
          <w:color w:val="000000"/>
          <w:sz w:val="20"/>
          <w:szCs w:val="20"/>
        </w:rPr>
        <w:t xml:space="preserve">07 г. № 282-ФЗ </w:t>
      </w:r>
      <w:r w:rsidR="00BF5062" w:rsidRPr="0077776F">
        <w:rPr>
          <w:rFonts w:ascii="Times New Roman" w:hAnsi="Times New Roman" w:cs="Times New Roman"/>
          <w:color w:val="000000"/>
          <w:sz w:val="20"/>
          <w:szCs w:val="20"/>
        </w:rPr>
        <w:br/>
      </w:r>
      <w:r w:rsidRPr="0077776F">
        <w:rPr>
          <w:rFonts w:ascii="Times New Roman" w:hAnsi="Times New Roman" w:cs="Times New Roman"/>
          <w:color w:val="000000"/>
          <w:sz w:val="20"/>
          <w:szCs w:val="20"/>
        </w:rPr>
        <w:t>«Об официальном статистическом учете и системе государственной статистики в Российской Федерации» (ст.4 п.5; ст.9 п.1).</w:t>
      </w:r>
    </w:p>
    <w:p w14:paraId="1059E903" w14:textId="77777777" w:rsidR="0021081C" w:rsidRPr="0077776F" w:rsidRDefault="0021081C">
      <w:pPr>
        <w:widowControl w:val="0"/>
        <w:autoSpaceDE w:val="0"/>
        <w:autoSpaceDN w:val="0"/>
        <w:adjustRightInd w:val="0"/>
        <w:spacing w:after="0" w:line="240" w:lineRule="auto"/>
        <w:jc w:val="both"/>
        <w:rPr>
          <w:rFonts w:ascii="Times New Roman" w:hAnsi="Times New Roman" w:cs="Times New Roman"/>
          <w:sz w:val="24"/>
          <w:szCs w:val="24"/>
        </w:rPr>
      </w:pPr>
    </w:p>
    <w:p w14:paraId="644CC306" w14:textId="77777777" w:rsidR="0021081C" w:rsidRPr="0077776F" w:rsidRDefault="004A41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2011-2013 годах </w:t>
      </w:r>
      <w:r w:rsidR="0021081C" w:rsidRPr="0077776F">
        <w:rPr>
          <w:rFonts w:ascii="Times New Roman" w:hAnsi="Times New Roman" w:cs="Times New Roman"/>
          <w:sz w:val="28"/>
          <w:szCs w:val="28"/>
        </w:rPr>
        <w:t>объем инвестиций в сельское хозяйство</w:t>
      </w:r>
      <w:r w:rsidRPr="0077776F">
        <w:rPr>
          <w:rFonts w:ascii="Times New Roman" w:hAnsi="Times New Roman" w:cs="Times New Roman"/>
          <w:sz w:val="28"/>
          <w:szCs w:val="28"/>
        </w:rPr>
        <w:t xml:space="preserve"> вырос более чем в 2,5 раза</w:t>
      </w:r>
      <w:r w:rsidR="008F5992" w:rsidRPr="0077776F">
        <w:rPr>
          <w:rFonts w:ascii="Times New Roman" w:hAnsi="Times New Roman" w:cs="Times New Roman"/>
          <w:sz w:val="28"/>
          <w:szCs w:val="28"/>
        </w:rPr>
        <w:t>, однако в 2014 году объем инвестиций в сельское хозяйство существенно снизился</w:t>
      </w:r>
      <w:r w:rsidR="0021081C" w:rsidRPr="0077776F">
        <w:rPr>
          <w:rFonts w:ascii="Times New Roman" w:hAnsi="Times New Roman" w:cs="Times New Roman"/>
          <w:sz w:val="28"/>
          <w:szCs w:val="28"/>
        </w:rPr>
        <w:t xml:space="preserve">. При этом </w:t>
      </w:r>
      <w:r w:rsidR="001947C2" w:rsidRPr="0077776F">
        <w:rPr>
          <w:rFonts w:ascii="Times New Roman" w:hAnsi="Times New Roman" w:cs="Times New Roman"/>
          <w:sz w:val="28"/>
          <w:szCs w:val="28"/>
        </w:rPr>
        <w:t xml:space="preserve">развитие обрабатывающих отраслей в 2011-2013 годах </w:t>
      </w:r>
      <w:r w:rsidR="00B04FDF" w:rsidRPr="0077776F">
        <w:rPr>
          <w:rFonts w:ascii="Times New Roman" w:hAnsi="Times New Roman" w:cs="Times New Roman"/>
          <w:sz w:val="28"/>
          <w:szCs w:val="28"/>
        </w:rPr>
        <w:t xml:space="preserve">отставало от темпов развития сельского хозяйства. В 2014 году ситуация изменилась. </w:t>
      </w:r>
      <w:r w:rsidR="00DC4602" w:rsidRPr="0077776F">
        <w:rPr>
          <w:rFonts w:ascii="Times New Roman" w:hAnsi="Times New Roman" w:cs="Times New Roman"/>
          <w:sz w:val="28"/>
          <w:szCs w:val="28"/>
        </w:rPr>
        <w:t>В отличие от сельского хозяйства в 2014 году по сравнению с 2013 годом у</w:t>
      </w:r>
      <w:r w:rsidR="00B04FDF" w:rsidRPr="0077776F">
        <w:rPr>
          <w:rFonts w:ascii="Times New Roman" w:hAnsi="Times New Roman" w:cs="Times New Roman"/>
          <w:sz w:val="28"/>
          <w:szCs w:val="28"/>
        </w:rPr>
        <w:t xml:space="preserve">ровень инвестирования в обрабатывающие производства </w:t>
      </w:r>
      <w:r w:rsidR="00DC4602" w:rsidRPr="0077776F">
        <w:rPr>
          <w:rFonts w:ascii="Times New Roman" w:hAnsi="Times New Roman" w:cs="Times New Roman"/>
          <w:sz w:val="28"/>
          <w:szCs w:val="28"/>
        </w:rPr>
        <w:t>сохранился.</w:t>
      </w:r>
    </w:p>
    <w:p w14:paraId="6FE29A17"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На сегодняшний день одна из основных задач власти - создание максимально благоприятных условий для ведения бизнеса в регионе, для привлечения стратегических ин</w:t>
      </w:r>
      <w:r w:rsidR="006E63C6" w:rsidRPr="0077776F">
        <w:rPr>
          <w:rFonts w:ascii="Times New Roman" w:hAnsi="Times New Roman" w:cs="Times New Roman"/>
          <w:sz w:val="28"/>
          <w:szCs w:val="28"/>
        </w:rPr>
        <w:t>весторов, которые смогут стать «</w:t>
      </w:r>
      <w:r w:rsidRPr="0077776F">
        <w:rPr>
          <w:rFonts w:ascii="Times New Roman" w:hAnsi="Times New Roman" w:cs="Times New Roman"/>
          <w:sz w:val="28"/>
          <w:szCs w:val="28"/>
        </w:rPr>
        <w:t>локомотивом</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 xml:space="preserve"> в инновационном развитии экономики. Она решается путем законодательного регулирования инвестиционной деятельности, повышения открытости власти для инвесторов, создания позитивного имиджа региона внутри страны и за ее пределами.</w:t>
      </w:r>
    </w:p>
    <w:p w14:paraId="633E472F"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Инвестиционная политика Курской области реализуется по различным направлениям, что позволяет решать как общие, стратегические задачи по развитию экономики и социальной сферы региона, так и конкретные проблемы, имеющиеся в производственных отраслях.</w:t>
      </w:r>
    </w:p>
    <w:p w14:paraId="673DC664"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Сегодня в области действует солидная законодательная база, позволяющая проводить эффективную инвестиционную политику. Ее основу составляет </w:t>
      </w:r>
      <w:hyperlink r:id="rId8" w:history="1">
        <w:r w:rsidRPr="0077776F">
          <w:rPr>
            <w:rFonts w:ascii="Times New Roman" w:hAnsi="Times New Roman" w:cs="Times New Roman"/>
            <w:sz w:val="28"/>
            <w:szCs w:val="28"/>
          </w:rPr>
          <w:t>Закон</w:t>
        </w:r>
      </w:hyperlink>
      <w:r w:rsidRPr="0077776F">
        <w:rPr>
          <w:rFonts w:ascii="Times New Roman" w:hAnsi="Times New Roman" w:cs="Times New Roman"/>
          <w:sz w:val="28"/>
          <w:szCs w:val="28"/>
        </w:rPr>
        <w:t xml:space="preserve"> Курской области </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Об инвестиционной деятельности в Курской области</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 xml:space="preserve">, принятый в 2004 году. Он постоянно совершенствуется с целью упрощения процедур получения инвесторами </w:t>
      </w:r>
      <w:r w:rsidRPr="0077776F">
        <w:rPr>
          <w:rFonts w:ascii="Times New Roman" w:hAnsi="Times New Roman" w:cs="Times New Roman"/>
          <w:sz w:val="28"/>
          <w:szCs w:val="28"/>
        </w:rPr>
        <w:lastRenderedPageBreak/>
        <w:t>государственной поддержки, расширения перечня форм этой поддержки.</w:t>
      </w:r>
    </w:p>
    <w:p w14:paraId="47F0CEE2"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5CA1">
        <w:rPr>
          <w:rFonts w:ascii="Times New Roman" w:hAnsi="Times New Roman" w:cs="Times New Roman"/>
          <w:sz w:val="28"/>
          <w:szCs w:val="28"/>
        </w:rPr>
        <w:t>Предусм</w:t>
      </w:r>
      <w:r w:rsidR="008805A9" w:rsidRPr="00995CA1">
        <w:rPr>
          <w:rFonts w:ascii="Times New Roman" w:hAnsi="Times New Roman" w:cs="Times New Roman"/>
          <w:sz w:val="28"/>
          <w:szCs w:val="28"/>
        </w:rPr>
        <w:t>отрено предоставление</w:t>
      </w:r>
      <w:r w:rsidRPr="00995CA1">
        <w:rPr>
          <w:rFonts w:ascii="Times New Roman" w:hAnsi="Times New Roman" w:cs="Times New Roman"/>
          <w:sz w:val="28"/>
          <w:szCs w:val="28"/>
        </w:rPr>
        <w:t>:</w:t>
      </w:r>
    </w:p>
    <w:p w14:paraId="7C3D84CC" w14:textId="77777777"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субсидий на возмещение части процентных ставок по кредитам, полученным на реализацию инвестиционных проектов;</w:t>
      </w:r>
    </w:p>
    <w:p w14:paraId="5F1C7800" w14:textId="77777777" w:rsidR="008805A9" w:rsidRPr="008805A9" w:rsidRDefault="008805A9" w:rsidP="008805A9">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субсидий на возмещение затрат на строительство объектов инфраструктуры в рамках реализации новых инвестиционных проектов;</w:t>
      </w:r>
    </w:p>
    <w:p w14:paraId="6234756F"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инвестиционных налоговых кредитов;</w:t>
      </w:r>
    </w:p>
    <w:p w14:paraId="118A1093" w14:textId="77777777" w:rsidR="00EB5A14" w:rsidRDefault="0021081C" w:rsidP="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государственных гарантий Курской области;</w:t>
      </w:r>
    </w:p>
    <w:p w14:paraId="78AA846E" w14:textId="77777777" w:rsidR="00EB5A14" w:rsidRDefault="00EB5A14" w:rsidP="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права на применение инвестиционного налогового вычета по налогу на прибыль организаций для компаний, реализующих одобренные в установленном действующим законодательством порядке инвестиционные проекты;</w:t>
      </w:r>
    </w:p>
    <w:p w14:paraId="40A77688" w14:textId="77777777" w:rsidR="00EB5A14" w:rsidRDefault="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льготного режима налогообложения организациям – участникам  региональных инвестиционных проектов, участникам специальных инвестиционных контрактов, резидентам особой экономической зоны</w:t>
      </w:r>
      <w:r>
        <w:rPr>
          <w:rFonts w:ascii="Times New Roman" w:hAnsi="Times New Roman" w:cs="Times New Roman"/>
          <w:sz w:val="28"/>
          <w:szCs w:val="28"/>
        </w:rPr>
        <w:t>;</w:t>
      </w:r>
    </w:p>
    <w:p w14:paraId="737B21EF" w14:textId="77777777" w:rsidR="00B74978" w:rsidRPr="00B74978" w:rsidRDefault="00B74978" w:rsidP="00B74978">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режима наибольшего благоприятствования при реализации инвестиционных проектов с объемом инвестиций не менее 100 млн. рублей, а по инвестиционным проектам, предусматривающим создание и (или) развитие производств, относящихся в соответствии с Общероссийским классификатором видов экономической деятельности ОК 029-2001 к коду группировок видов экономической деятельности 15 «Производство пищевых продуктов, включая напитки», - не менее 50 млн. рублей. По проектам, реализуемым в режиме наибольшего благоприятствования, инвесторы могут воспользоваться льготным режимом налогообложения по налогу на имущество организаций.</w:t>
      </w:r>
    </w:p>
    <w:p w14:paraId="55D1C88E"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За счет имущества залогового фонда Курской области на конкурсной основе могут быть обеспечены обязательства инвестора по инвестиционным кредитам, привлекаемым на реализацию инвестиционных проектов.</w:t>
      </w:r>
    </w:p>
    <w:p w14:paraId="6C07DDCE"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Благодаря оказываемой государственной поддержке инвесторам в промышленности и сельском хозяйстве в области </w:t>
      </w:r>
      <w:r w:rsidR="00983174" w:rsidRPr="0077776F">
        <w:rPr>
          <w:rFonts w:ascii="Times New Roman" w:hAnsi="Times New Roman" w:cs="Times New Roman"/>
          <w:sz w:val="28"/>
          <w:szCs w:val="28"/>
        </w:rPr>
        <w:t>реализуется</w:t>
      </w:r>
      <w:r w:rsidRPr="0077776F">
        <w:rPr>
          <w:rFonts w:ascii="Times New Roman" w:hAnsi="Times New Roman" w:cs="Times New Roman"/>
          <w:sz w:val="28"/>
          <w:szCs w:val="28"/>
        </w:rPr>
        <w:t xml:space="preserve"> немало инвестиционных проектов.</w:t>
      </w:r>
    </w:p>
    <w:p w14:paraId="04D50919" w14:textId="77777777" w:rsidR="00F24237" w:rsidRPr="0077776F" w:rsidRDefault="00E62ADF" w:rsidP="00E62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На Михайловском ГОКе в рамках широкомасштабной инвестиционной программы по модернизации производства на основе внедрения новых технологий реализуется инвестиционный проект строительства крупнейшей в России обжиговой машины </w:t>
      </w:r>
      <w:r w:rsidR="00BF148F" w:rsidRPr="0077776F">
        <w:rPr>
          <w:rFonts w:ascii="Times New Roman" w:hAnsi="Times New Roman" w:cs="Times New Roman"/>
          <w:sz w:val="28"/>
          <w:szCs w:val="28"/>
        </w:rPr>
        <w:t>№</w:t>
      </w:r>
      <w:r w:rsidRPr="0077776F">
        <w:rPr>
          <w:rFonts w:ascii="Times New Roman" w:hAnsi="Times New Roman" w:cs="Times New Roman"/>
          <w:sz w:val="28"/>
          <w:szCs w:val="28"/>
        </w:rPr>
        <w:t xml:space="preserve"> 3 для выпуска доменных окатышей. </w:t>
      </w:r>
      <w:r w:rsidR="00F24237" w:rsidRPr="0077776F">
        <w:rPr>
          <w:rFonts w:ascii="Times New Roman" w:hAnsi="Times New Roman" w:cs="Times New Roman"/>
          <w:sz w:val="28"/>
          <w:szCs w:val="28"/>
        </w:rPr>
        <w:t>Сумма инвестиций по проекту 1</w:t>
      </w:r>
      <w:r w:rsidRPr="0077776F">
        <w:rPr>
          <w:rFonts w:ascii="Times New Roman" w:hAnsi="Times New Roman" w:cs="Times New Roman"/>
          <w:sz w:val="28"/>
          <w:szCs w:val="28"/>
        </w:rPr>
        <w:t>7,3</w:t>
      </w:r>
      <w:r w:rsidR="00F24237" w:rsidRPr="0077776F">
        <w:rPr>
          <w:rFonts w:ascii="Times New Roman" w:hAnsi="Times New Roman" w:cs="Times New Roman"/>
          <w:sz w:val="28"/>
          <w:szCs w:val="28"/>
        </w:rPr>
        <w:t xml:space="preserve"> млрд. рублей. </w:t>
      </w:r>
    </w:p>
    <w:p w14:paraId="7BCAAEDD" w14:textId="77777777" w:rsidR="00F24237" w:rsidRPr="0077776F" w:rsidRDefault="00E62ADF"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w:t>
      </w:r>
      <w:r w:rsidR="00F24237" w:rsidRPr="0077776F">
        <w:rPr>
          <w:rFonts w:ascii="Times New Roman" w:hAnsi="Times New Roman" w:cs="Times New Roman"/>
          <w:sz w:val="28"/>
          <w:szCs w:val="28"/>
        </w:rPr>
        <w:t>орпораци</w:t>
      </w:r>
      <w:r w:rsidRPr="0077776F">
        <w:rPr>
          <w:rFonts w:ascii="Times New Roman" w:hAnsi="Times New Roman" w:cs="Times New Roman"/>
          <w:sz w:val="28"/>
          <w:szCs w:val="28"/>
        </w:rPr>
        <w:t>ей</w:t>
      </w:r>
      <w:r w:rsidR="00F24237" w:rsidRPr="0077776F">
        <w:rPr>
          <w:rFonts w:ascii="Times New Roman" w:hAnsi="Times New Roman" w:cs="Times New Roman"/>
          <w:sz w:val="28"/>
          <w:szCs w:val="28"/>
        </w:rPr>
        <w:t xml:space="preserve"> «Росатом</w:t>
      </w:r>
      <w:r w:rsidR="001D6F62" w:rsidRPr="0077776F">
        <w:rPr>
          <w:rFonts w:ascii="Times New Roman" w:hAnsi="Times New Roman" w:cs="Times New Roman"/>
          <w:sz w:val="28"/>
          <w:szCs w:val="28"/>
        </w:rPr>
        <w:t>»</w:t>
      </w:r>
      <w:r w:rsidR="00F24237" w:rsidRPr="0077776F">
        <w:rPr>
          <w:rFonts w:ascii="Times New Roman" w:hAnsi="Times New Roman" w:cs="Times New Roman"/>
          <w:sz w:val="28"/>
          <w:szCs w:val="28"/>
        </w:rPr>
        <w:t xml:space="preserve"> нача</w:t>
      </w:r>
      <w:r w:rsidRPr="0077776F">
        <w:rPr>
          <w:rFonts w:ascii="Times New Roman" w:hAnsi="Times New Roman" w:cs="Times New Roman"/>
          <w:sz w:val="28"/>
          <w:szCs w:val="28"/>
        </w:rPr>
        <w:t>т</w:t>
      </w:r>
      <w:r w:rsidR="00F24237" w:rsidRPr="0077776F">
        <w:rPr>
          <w:rFonts w:ascii="Times New Roman" w:hAnsi="Times New Roman" w:cs="Times New Roman"/>
          <w:sz w:val="28"/>
          <w:szCs w:val="28"/>
        </w:rPr>
        <w:t xml:space="preserve">о строительство станции замещения АЭС-2. </w:t>
      </w:r>
      <w:r w:rsidRPr="0077776F">
        <w:rPr>
          <w:rFonts w:ascii="Times New Roman" w:hAnsi="Times New Roman" w:cs="Times New Roman"/>
          <w:sz w:val="28"/>
          <w:szCs w:val="28"/>
        </w:rPr>
        <w:t xml:space="preserve">Значимость этого проекта </w:t>
      </w:r>
      <w:r w:rsidR="001D6F62" w:rsidRPr="0077776F">
        <w:rPr>
          <w:rFonts w:ascii="Times New Roman" w:hAnsi="Times New Roman" w:cs="Times New Roman"/>
          <w:sz w:val="28"/>
          <w:szCs w:val="28"/>
        </w:rPr>
        <w:t xml:space="preserve">для региональной экономики </w:t>
      </w:r>
      <w:r w:rsidRPr="0077776F">
        <w:rPr>
          <w:rFonts w:ascii="Times New Roman" w:hAnsi="Times New Roman" w:cs="Times New Roman"/>
          <w:sz w:val="28"/>
          <w:szCs w:val="28"/>
        </w:rPr>
        <w:t>очень высока</w:t>
      </w:r>
      <w:r w:rsidR="001D6F62" w:rsidRPr="0077776F">
        <w:rPr>
          <w:rFonts w:ascii="Times New Roman" w:hAnsi="Times New Roman" w:cs="Times New Roman"/>
          <w:sz w:val="28"/>
          <w:szCs w:val="28"/>
        </w:rPr>
        <w:t>, так как</w:t>
      </w:r>
      <w:r w:rsidR="00F24237" w:rsidRPr="0077776F">
        <w:rPr>
          <w:rFonts w:ascii="Times New Roman" w:hAnsi="Times New Roman" w:cs="Times New Roman"/>
          <w:sz w:val="28"/>
          <w:szCs w:val="28"/>
        </w:rPr>
        <w:t xml:space="preserve"> экономика города Курчатова с численностью более 40 тыс. человек напрямую зависит от стабильной работы этого предприятия. </w:t>
      </w:r>
    </w:p>
    <w:p w14:paraId="29A349A0" w14:textId="77777777"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ЗАО «КОНТИ-РУС» в рамках расширения производств</w:t>
      </w:r>
      <w:r w:rsidR="00962C63" w:rsidRPr="0077776F">
        <w:rPr>
          <w:rFonts w:ascii="Times New Roman" w:hAnsi="Times New Roman" w:cs="Times New Roman"/>
          <w:sz w:val="28"/>
          <w:szCs w:val="28"/>
        </w:rPr>
        <w:t>а провело установку новых линий</w:t>
      </w:r>
      <w:r w:rsidRPr="0077776F">
        <w:rPr>
          <w:rFonts w:ascii="Times New Roman" w:hAnsi="Times New Roman" w:cs="Times New Roman"/>
          <w:sz w:val="28"/>
          <w:szCs w:val="28"/>
        </w:rPr>
        <w:t xml:space="preserve"> стоимостью более 1 млрд. рублей. Установлены три линии, вспомогательная линия по производству глазури и транспортировке </w:t>
      </w:r>
      <w:r w:rsidRPr="0077776F">
        <w:rPr>
          <w:rFonts w:ascii="Times New Roman" w:hAnsi="Times New Roman" w:cs="Times New Roman"/>
          <w:sz w:val="28"/>
          <w:szCs w:val="28"/>
        </w:rPr>
        <w:lastRenderedPageBreak/>
        <w:t xml:space="preserve">сахара. </w:t>
      </w:r>
    </w:p>
    <w:p w14:paraId="784C43FB" w14:textId="77777777"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Продолжается реализация инвестиционных проектов в агропромышленном комплексе.</w:t>
      </w:r>
    </w:p>
    <w:p w14:paraId="20D8F19E" w14:textId="77777777" w:rsidR="000E785F"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ООО «Агропромкомплектация – Курск» </w:t>
      </w:r>
      <w:r w:rsidR="00734F82" w:rsidRPr="0077776F">
        <w:rPr>
          <w:rFonts w:ascii="Times New Roman" w:hAnsi="Times New Roman" w:cs="Times New Roman"/>
          <w:sz w:val="28"/>
          <w:szCs w:val="28"/>
        </w:rPr>
        <w:t>реализует крупный проект</w:t>
      </w:r>
      <w:r w:rsidRPr="0077776F">
        <w:rPr>
          <w:rFonts w:ascii="Times New Roman" w:hAnsi="Times New Roman" w:cs="Times New Roman"/>
          <w:sz w:val="28"/>
          <w:szCs w:val="28"/>
        </w:rPr>
        <w:t xml:space="preserve"> по строительству мясохладобойни в Железногорском районе мощностью 300 голов в час, которая будет являться неотъемлемым звеном пяти свиноводческих комплексов по системе «multi-site» («несколько производственных площадок») на территории Дмитриевского, Железногорского и Конышевского районов. Планируется создание 800 новых рабочих мест со средней заработной платой более 35 тыс. рублей. Стоимость проекта 7,7 млрд. рублей. Ввод в эксплуатацию запланирован на 2016 год. </w:t>
      </w:r>
    </w:p>
    <w:p w14:paraId="3DB9F092" w14:textId="77777777" w:rsidR="000E785F"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Кроме того, на территории указанных районов </w:t>
      </w:r>
      <w:r w:rsidR="00962C63" w:rsidRPr="0077776F">
        <w:rPr>
          <w:rFonts w:ascii="Times New Roman" w:hAnsi="Times New Roman" w:cs="Times New Roman"/>
          <w:sz w:val="28"/>
          <w:szCs w:val="28"/>
        </w:rPr>
        <w:br/>
      </w:r>
      <w:r w:rsidRPr="0077776F">
        <w:rPr>
          <w:rFonts w:ascii="Times New Roman" w:hAnsi="Times New Roman" w:cs="Times New Roman"/>
          <w:sz w:val="28"/>
          <w:szCs w:val="28"/>
        </w:rPr>
        <w:t xml:space="preserve">ООО «Агропромкомплектация – Курск» приступило к строительству </w:t>
      </w:r>
      <w:r w:rsidR="00CB4900" w:rsidRPr="0077776F">
        <w:rPr>
          <w:rFonts w:ascii="Times New Roman" w:hAnsi="Times New Roman" w:cs="Times New Roman"/>
          <w:sz w:val="28"/>
          <w:szCs w:val="28"/>
        </w:rPr>
        <w:t>трех</w:t>
      </w:r>
      <w:r w:rsidRPr="0077776F">
        <w:rPr>
          <w:rFonts w:ascii="Times New Roman" w:hAnsi="Times New Roman" w:cs="Times New Roman"/>
          <w:sz w:val="28"/>
          <w:szCs w:val="28"/>
        </w:rPr>
        <w:t xml:space="preserve"> свиноводческих комплексов производственной мощностью 56 тыс. тонн мяса свиней в живом весе в год. Планируется создание 414 рабочих мест со средней заработной платой более 30 тыс. руб. Сметная стоимость </w:t>
      </w:r>
      <w:r w:rsidR="00962C63" w:rsidRPr="0077776F">
        <w:rPr>
          <w:rFonts w:ascii="Times New Roman" w:hAnsi="Times New Roman" w:cs="Times New Roman"/>
          <w:sz w:val="28"/>
          <w:szCs w:val="28"/>
        </w:rPr>
        <w:br/>
      </w:r>
      <w:r w:rsidRPr="0077776F">
        <w:rPr>
          <w:rFonts w:ascii="Times New Roman" w:hAnsi="Times New Roman" w:cs="Times New Roman"/>
          <w:sz w:val="28"/>
          <w:szCs w:val="28"/>
        </w:rPr>
        <w:t>11</w:t>
      </w:r>
      <w:r w:rsidR="000E785F" w:rsidRPr="0077776F">
        <w:rPr>
          <w:rFonts w:ascii="Times New Roman" w:hAnsi="Times New Roman" w:cs="Times New Roman"/>
          <w:sz w:val="28"/>
          <w:szCs w:val="28"/>
        </w:rPr>
        <w:t>,5</w:t>
      </w:r>
      <w:r w:rsidRPr="0077776F">
        <w:rPr>
          <w:rFonts w:ascii="Times New Roman" w:hAnsi="Times New Roman" w:cs="Times New Roman"/>
          <w:sz w:val="28"/>
          <w:szCs w:val="28"/>
        </w:rPr>
        <w:t xml:space="preserve"> мл</w:t>
      </w:r>
      <w:r w:rsidR="000E785F" w:rsidRPr="0077776F">
        <w:rPr>
          <w:rFonts w:ascii="Times New Roman" w:hAnsi="Times New Roman" w:cs="Times New Roman"/>
          <w:sz w:val="28"/>
          <w:szCs w:val="28"/>
        </w:rPr>
        <w:t>рд</w:t>
      </w:r>
      <w:r w:rsidRPr="0077776F">
        <w:rPr>
          <w:rFonts w:ascii="Times New Roman" w:hAnsi="Times New Roman" w:cs="Times New Roman"/>
          <w:sz w:val="28"/>
          <w:szCs w:val="28"/>
        </w:rPr>
        <w:t>. 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xml:space="preserve">. </w:t>
      </w:r>
    </w:p>
    <w:p w14:paraId="214EF765" w14:textId="77777777"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ООО «Возрождение» завершило строительство хрячника на 328 голов, нуклеуса на 680 голов, карантина на 100 голов. Создано 80 новых рабочих мест. Сметная стоим</w:t>
      </w:r>
      <w:r w:rsidR="000E785F" w:rsidRPr="0077776F">
        <w:rPr>
          <w:rFonts w:ascii="Times New Roman" w:hAnsi="Times New Roman" w:cs="Times New Roman"/>
          <w:sz w:val="28"/>
          <w:szCs w:val="28"/>
        </w:rPr>
        <w:t>ость проекта составила 564 млн. </w:t>
      </w:r>
      <w:r w:rsidRPr="0077776F">
        <w:rPr>
          <w:rFonts w:ascii="Times New Roman" w:hAnsi="Times New Roman" w:cs="Times New Roman"/>
          <w:sz w:val="28"/>
          <w:szCs w:val="28"/>
        </w:rPr>
        <w:t>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Завершено строительство 4 свинокомплексов в Пристенском районе с объемом инвестиций 4</w:t>
      </w:r>
      <w:r w:rsidR="000E785F" w:rsidRPr="0077776F">
        <w:rPr>
          <w:rFonts w:ascii="Times New Roman" w:hAnsi="Times New Roman" w:cs="Times New Roman"/>
          <w:sz w:val="28"/>
          <w:szCs w:val="28"/>
        </w:rPr>
        <w:t>,</w:t>
      </w:r>
      <w:r w:rsidRPr="0077776F">
        <w:rPr>
          <w:rFonts w:ascii="Times New Roman" w:hAnsi="Times New Roman" w:cs="Times New Roman"/>
          <w:sz w:val="28"/>
          <w:szCs w:val="28"/>
        </w:rPr>
        <w:t>4 мл</w:t>
      </w:r>
      <w:r w:rsidR="000E785F" w:rsidRPr="0077776F">
        <w:rPr>
          <w:rFonts w:ascii="Times New Roman" w:hAnsi="Times New Roman" w:cs="Times New Roman"/>
          <w:sz w:val="28"/>
          <w:szCs w:val="28"/>
        </w:rPr>
        <w:t>рд</w:t>
      </w:r>
      <w:r w:rsidRPr="0077776F">
        <w:rPr>
          <w:rFonts w:ascii="Times New Roman" w:hAnsi="Times New Roman" w:cs="Times New Roman"/>
          <w:sz w:val="28"/>
          <w:szCs w:val="28"/>
        </w:rPr>
        <w:t>. 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В настоящее время компания «Мираторг» разрабатывает инвестиционную программу по дальнейшему развитию своих подразделений на территории области.</w:t>
      </w:r>
    </w:p>
    <w:p w14:paraId="6D7595CF" w14:textId="77777777" w:rsidR="00F24237" w:rsidRPr="0077776F" w:rsidRDefault="003D5E48"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Глушковском районе завершается строительство</w:t>
      </w:r>
      <w:r w:rsidR="00F24237" w:rsidRPr="0077776F">
        <w:rPr>
          <w:rFonts w:ascii="Times New Roman" w:hAnsi="Times New Roman" w:cs="Times New Roman"/>
          <w:sz w:val="28"/>
          <w:szCs w:val="28"/>
        </w:rPr>
        <w:t xml:space="preserve"> тепличного комплекса «АгроПарк» общей площадью 11,1 га. Стоимость данного проекта 2,2 млрд. рублей. Круглогодичный объем производства овощной продукции на комбинате составит 6,6 тыс. тонн, в том числе томатов – 1,8 тыс. тонн, огурцов - 4,6 тыс. тонн, салата и зеленых культур 220 тонн.</w:t>
      </w:r>
    </w:p>
    <w:p w14:paraId="53012846" w14:textId="77777777"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соглашения о сотрудничестве с ЗАО «Корпорация «ГРИНН» предусмотрено создание новых современных торговых предприятий и центров досуга, которые</w:t>
      </w:r>
      <w:r w:rsidR="00962C63" w:rsidRPr="0077776F">
        <w:rPr>
          <w:rFonts w:ascii="Times New Roman" w:hAnsi="Times New Roman" w:cs="Times New Roman"/>
          <w:sz w:val="28"/>
          <w:szCs w:val="28"/>
        </w:rPr>
        <w:t xml:space="preserve"> способствуют решению социально </w:t>
      </w:r>
      <w:r w:rsidRPr="0077776F">
        <w:rPr>
          <w:rFonts w:ascii="Times New Roman" w:hAnsi="Times New Roman" w:cs="Times New Roman"/>
          <w:sz w:val="28"/>
          <w:szCs w:val="28"/>
        </w:rPr>
        <w:t xml:space="preserve">значимых задач. </w:t>
      </w:r>
      <w:r w:rsidR="003D5E48" w:rsidRPr="0077776F">
        <w:rPr>
          <w:rFonts w:ascii="Times New Roman" w:hAnsi="Times New Roman" w:cs="Times New Roman"/>
          <w:sz w:val="28"/>
          <w:szCs w:val="28"/>
        </w:rPr>
        <w:t>П</w:t>
      </w:r>
      <w:r w:rsidRPr="0077776F">
        <w:rPr>
          <w:rFonts w:ascii="Times New Roman" w:hAnsi="Times New Roman" w:cs="Times New Roman"/>
          <w:sz w:val="28"/>
          <w:szCs w:val="28"/>
        </w:rPr>
        <w:t xml:space="preserve">родолжается строительство торгово-развлекательного центра «ГРИНН» на проспекте В. Клыкова площадью 140 тыс. кв. м, включающего крупнейший в Черноземье концертный комплекс с двумя залами-трансформерами на 2000 и 900 зрителей, зону предприятий быстрого питания, гипермаркет «Линия». Сметная стоимость проекта составляет </w:t>
      </w:r>
      <w:r w:rsidR="003D5E48" w:rsidRPr="0077776F">
        <w:rPr>
          <w:rFonts w:ascii="Times New Roman" w:hAnsi="Times New Roman" w:cs="Times New Roman"/>
          <w:sz w:val="28"/>
          <w:szCs w:val="28"/>
        </w:rPr>
        <w:t>5,3</w:t>
      </w:r>
      <w:r w:rsidRPr="0077776F">
        <w:rPr>
          <w:rFonts w:ascii="Times New Roman" w:hAnsi="Times New Roman" w:cs="Times New Roman"/>
          <w:sz w:val="28"/>
          <w:szCs w:val="28"/>
        </w:rPr>
        <w:t xml:space="preserve"> млрд. руб</w:t>
      </w:r>
      <w:r w:rsidR="003D5E48" w:rsidRPr="0077776F">
        <w:rPr>
          <w:rFonts w:ascii="Times New Roman" w:hAnsi="Times New Roman" w:cs="Times New Roman"/>
          <w:sz w:val="28"/>
          <w:szCs w:val="28"/>
        </w:rPr>
        <w:t>.</w:t>
      </w:r>
      <w:r w:rsidRPr="0077776F">
        <w:rPr>
          <w:rFonts w:ascii="Times New Roman" w:hAnsi="Times New Roman" w:cs="Times New Roman"/>
          <w:sz w:val="28"/>
          <w:szCs w:val="28"/>
        </w:rPr>
        <w:t xml:space="preserve"> Открытие объекта запланировано на декабрь 2017 года.</w:t>
      </w:r>
    </w:p>
    <w:p w14:paraId="6E72EBDB" w14:textId="77777777"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Основным объектом корпорации остается строительство многофункционального торгово-развлекательного центра «МегаГРИНН» по улице К.</w:t>
      </w:r>
      <w:r w:rsidR="00962C63" w:rsidRPr="0077776F">
        <w:rPr>
          <w:rFonts w:ascii="Times New Roman" w:hAnsi="Times New Roman" w:cs="Times New Roman"/>
          <w:sz w:val="28"/>
          <w:szCs w:val="28"/>
        </w:rPr>
        <w:t xml:space="preserve"> Маркса площадью 220 тыс. кв. м</w:t>
      </w:r>
      <w:r w:rsidRPr="0077776F">
        <w:rPr>
          <w:rFonts w:ascii="Times New Roman" w:hAnsi="Times New Roman" w:cs="Times New Roman"/>
          <w:sz w:val="28"/>
          <w:szCs w:val="28"/>
        </w:rPr>
        <w:t xml:space="preserve">, на которой расположатся объекты торговли и общественного питания, развлекательно-зрелищного и спортивного направления. Стоимость проекта составляет </w:t>
      </w:r>
      <w:r w:rsidR="003D5E48" w:rsidRPr="0077776F">
        <w:rPr>
          <w:rFonts w:ascii="Times New Roman" w:hAnsi="Times New Roman" w:cs="Times New Roman"/>
          <w:sz w:val="28"/>
          <w:szCs w:val="28"/>
        </w:rPr>
        <w:t>10,3</w:t>
      </w:r>
      <w:r w:rsidRPr="0077776F">
        <w:rPr>
          <w:rFonts w:ascii="Times New Roman" w:hAnsi="Times New Roman" w:cs="Times New Roman"/>
          <w:sz w:val="28"/>
          <w:szCs w:val="28"/>
        </w:rPr>
        <w:t xml:space="preserve"> млрд. руб. </w:t>
      </w:r>
      <w:r w:rsidRPr="0077776F">
        <w:rPr>
          <w:rFonts w:ascii="Times New Roman" w:hAnsi="Times New Roman" w:cs="Times New Roman"/>
          <w:sz w:val="28"/>
          <w:szCs w:val="28"/>
        </w:rPr>
        <w:lastRenderedPageBreak/>
        <w:t>Планируется создание 4000 рабочих мест.</w:t>
      </w:r>
    </w:p>
    <w:p w14:paraId="49CF1603" w14:textId="77777777" w:rsidR="008E4F06" w:rsidRPr="0077776F" w:rsidRDefault="0021081C" w:rsidP="007724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Оценка тенденций развития инвестиционной деятельности в регионе позволяет отметить, что на протяжении ряда лет принимались системные меры по поддержанию в регионе инвестиционной активности, главной целью которых являлось создание прозрачного и хорошо отлаженного механизма по привлечению и реализации п</w:t>
      </w:r>
      <w:r w:rsidR="007724A7" w:rsidRPr="0077776F">
        <w:rPr>
          <w:rFonts w:ascii="Times New Roman" w:hAnsi="Times New Roman" w:cs="Times New Roman"/>
          <w:sz w:val="28"/>
          <w:szCs w:val="28"/>
        </w:rPr>
        <w:t>оступающих в область инвестиций</w:t>
      </w:r>
      <w:r w:rsidR="008E4F06" w:rsidRPr="0077776F">
        <w:rPr>
          <w:rFonts w:ascii="Times New Roman" w:hAnsi="Times New Roman" w:cs="Times New Roman"/>
          <w:sz w:val="28"/>
          <w:szCs w:val="28"/>
        </w:rPr>
        <w:t xml:space="preserve">, что позволяет прогнозировать развитие региона на отдалённую и ближайшую перспективу. Международными и российскими рейтинговыми  агентствами  области присвоены высокие рейтинги инвестиционной привлекательности и кредитоспособности. Так, по инвестиционным рискам </w:t>
      </w:r>
      <w:r w:rsidR="00786BE5" w:rsidRPr="0077776F">
        <w:rPr>
          <w:rFonts w:ascii="Times New Roman" w:hAnsi="Times New Roman" w:cs="Times New Roman"/>
          <w:sz w:val="28"/>
          <w:szCs w:val="28"/>
        </w:rPr>
        <w:t xml:space="preserve">по итогам 2015 года </w:t>
      </w:r>
      <w:r w:rsidR="008E4F06" w:rsidRPr="0077776F">
        <w:rPr>
          <w:rFonts w:ascii="Times New Roman" w:hAnsi="Times New Roman" w:cs="Times New Roman"/>
          <w:sz w:val="28"/>
          <w:szCs w:val="28"/>
        </w:rPr>
        <w:t>область находится на пятом месте из 85 субъектов Российской Федерации по классификации рейтингового агентства «Эксперт РА». По результатам Национального рейтинга состояния инвестиционного климата в субъектах Российской Федерации Курская область занимает 19 место из 76 регионов, принимавших участие в полномасштабном внедрении национального рейтинга состояния инвестиционного климата.</w:t>
      </w:r>
    </w:p>
    <w:p w14:paraId="288C48D5" w14:textId="77777777"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 итогам работы, проведенной Администрацией Курской области с организациями области, предприятия реального сектор</w:t>
      </w:r>
      <w:r w:rsidR="00962C63" w:rsidRPr="0077776F">
        <w:rPr>
          <w:rFonts w:ascii="Times New Roman" w:hAnsi="Times New Roman" w:cs="Times New Roman"/>
          <w:sz w:val="28"/>
          <w:szCs w:val="28"/>
        </w:rPr>
        <w:t>а экономики значительно активнее</w:t>
      </w:r>
      <w:r w:rsidRPr="0077776F">
        <w:rPr>
          <w:rFonts w:ascii="Times New Roman" w:hAnsi="Times New Roman" w:cs="Times New Roman"/>
          <w:sz w:val="28"/>
          <w:szCs w:val="28"/>
        </w:rPr>
        <w:t xml:space="preserve"> стали пользоваться преференциями, предусмотренными законодательством для инвесторов.</w:t>
      </w:r>
    </w:p>
    <w:p w14:paraId="28D2E1C1" w14:textId="77777777"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2012-2015 годах трем организациям, реализующим инвестиционные проекты, соответствующие критериям, предусмотренным Законом </w:t>
      </w:r>
      <w:r w:rsidR="000814EC" w:rsidRPr="0077776F">
        <w:rPr>
          <w:rFonts w:ascii="Times New Roman" w:hAnsi="Times New Roman" w:cs="Times New Roman"/>
          <w:sz w:val="28"/>
          <w:szCs w:val="28"/>
        </w:rPr>
        <w:t xml:space="preserve">Курской области </w:t>
      </w:r>
      <w:r w:rsidRPr="0077776F">
        <w:rPr>
          <w:rFonts w:ascii="Times New Roman" w:hAnsi="Times New Roman" w:cs="Times New Roman"/>
          <w:sz w:val="28"/>
          <w:szCs w:val="28"/>
        </w:rPr>
        <w:t xml:space="preserve">«Об инвестиционной деятельности в Курской области», предоставлен режим наибольшего благоприятствования. В соответствии с Законом Курской области «О налоге на имущество организаций» предприятия, работающие в режиме наибольшего благоприятствования, освобождены от уплаты </w:t>
      </w:r>
      <w:r w:rsidR="000814EC" w:rsidRPr="0077776F">
        <w:rPr>
          <w:rFonts w:ascii="Times New Roman" w:hAnsi="Times New Roman" w:cs="Times New Roman"/>
          <w:sz w:val="28"/>
          <w:szCs w:val="28"/>
        </w:rPr>
        <w:t>налога на имущество организаций на три налоговых периода.</w:t>
      </w:r>
    </w:p>
    <w:p w14:paraId="3D2B82CE" w14:textId="77777777"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 2011 года на конкурсной основе из областного бюджета предоставляются средства на субсидирование части процентных ставок по кред</w:t>
      </w:r>
      <w:r w:rsidR="000814EC" w:rsidRPr="0077776F">
        <w:rPr>
          <w:rFonts w:ascii="Times New Roman" w:hAnsi="Times New Roman" w:cs="Times New Roman"/>
          <w:sz w:val="28"/>
          <w:szCs w:val="28"/>
        </w:rPr>
        <w:t>итам, привлекаемым инвесторами на реализацию инвестиционных проектов.</w:t>
      </w:r>
    </w:p>
    <w:p w14:paraId="4945DC92" w14:textId="77777777" w:rsidR="00E05CC4"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За 2011 - 2015 годы выплачено </w:t>
      </w:r>
      <w:r w:rsidR="00472878" w:rsidRPr="0077776F">
        <w:rPr>
          <w:rFonts w:ascii="Times New Roman" w:hAnsi="Times New Roman" w:cs="Times New Roman"/>
          <w:sz w:val="28"/>
          <w:szCs w:val="28"/>
        </w:rPr>
        <w:t>более 66</w:t>
      </w:r>
      <w:r w:rsidRPr="0077776F">
        <w:rPr>
          <w:rFonts w:ascii="Times New Roman" w:hAnsi="Times New Roman" w:cs="Times New Roman"/>
          <w:sz w:val="28"/>
          <w:szCs w:val="28"/>
        </w:rPr>
        <w:t xml:space="preserve"> млн. рублей субсидий за счет средств областного бюджета предприятиям - победителям конкурсного отбора наиболее эффективных инвестиционных проектов.</w:t>
      </w:r>
    </w:p>
    <w:p w14:paraId="182BAEAC" w14:textId="77777777" w:rsidR="00B74978" w:rsidRPr="00995CA1" w:rsidRDefault="00B74978" w:rsidP="00B74978">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Создан и действует Совет по улучшению инвестиционного климата, взаимодействию с инвесторами, поддержке и развитию экспорта при Губернаторе Курской области, основной задачей которого является принятие решений по наиболее важным вопросам в инвестиционной сфере. Ежегодно проводится не менее 6 заседаний, на которых рассматриваются вопросы, касающиеся различных сторон инвестиционных процессов, происходящих в области.</w:t>
      </w:r>
    </w:p>
    <w:p w14:paraId="5ED8C9F5" w14:textId="77777777" w:rsidR="00B74978" w:rsidRPr="00995CA1" w:rsidRDefault="00B74978" w:rsidP="00B74978">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 xml:space="preserve">В 2012 году создано ОАО «Агентство по привлечению инвестиций </w:t>
      </w:r>
      <w:r w:rsidRPr="00995CA1">
        <w:rPr>
          <w:rFonts w:ascii="Times New Roman" w:hAnsi="Times New Roman" w:cs="Times New Roman"/>
          <w:sz w:val="28"/>
          <w:szCs w:val="28"/>
        </w:rPr>
        <w:lastRenderedPageBreak/>
        <w:t>Курской области» (далее - Агентство). Основным направлением деятельности данной структуры являлось создание на территории региона промышленных (индустриальных) парков. Кроме того, Агентство осуществляло взаимодействие с инвесторами по принципу «одного окна» в соответствии с регламентом, утвержденным постановлением Администрации Курской области от 21.05.2014 № 324-па. В 2022 году Агентство переименовано в АО «Корпорация развития Курской области.</w:t>
      </w:r>
    </w:p>
    <w:p w14:paraId="3DC8B52A" w14:textId="46CFD198" w:rsidR="008E361C" w:rsidRDefault="008E361C" w:rsidP="008E361C">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В соответствии с постановлением Правительства Российской Федерации от 26 февраля 2022 г. № 244 на территориях муниципальных образований «город Железногорск» и «Железногорский район» Курской области создана особая экономическая зона промышленно-производственного типа (далее – ОЭЗ). Функции управляющей компании ОЭЗ возложены на Корпорацию.</w:t>
      </w:r>
    </w:p>
    <w:p w14:paraId="08574CF1" w14:textId="5051AE1F" w:rsidR="001F3A85" w:rsidRDefault="001F3A85"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3168">
        <w:rPr>
          <w:rFonts w:ascii="Times New Roman" w:hAnsi="Times New Roman" w:cs="Times New Roman"/>
          <w:sz w:val="28"/>
          <w:szCs w:val="28"/>
        </w:rPr>
        <w:t xml:space="preserve">В целях повышения информационной открытости региона в 2012 - 2019 годах </w:t>
      </w:r>
      <w:r>
        <w:rPr>
          <w:rFonts w:ascii="Times New Roman" w:hAnsi="Times New Roman" w:cs="Times New Roman"/>
          <w:sz w:val="28"/>
          <w:szCs w:val="28"/>
        </w:rPr>
        <w:t xml:space="preserve">органами исполнительной власти Курской области </w:t>
      </w:r>
      <w:r w:rsidRPr="00343168">
        <w:rPr>
          <w:rFonts w:ascii="Times New Roman" w:hAnsi="Times New Roman" w:cs="Times New Roman"/>
          <w:sz w:val="28"/>
          <w:szCs w:val="28"/>
        </w:rPr>
        <w:t>совместно с российским информационным агентством АК&amp;М проводился Среднерусский экономический форум, который привлекал большое количество участников, в том числе инвесторов, предпринимателей, что позволило курскому бизнесу найти новых партнеров и расширить объемы производства. В настоящее время проводятся значимые имиджевые мероприятия, нацеленные на позиционирование Курской области как инвестиционно-привлекательного региона, территории, благоприятной для ведения бизнеса.</w:t>
      </w:r>
    </w:p>
    <w:p w14:paraId="57DADB15" w14:textId="37E93306"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Однако, несмотря на принимаемые Администрацией Курской области меры, сохранились проблемы, сдерживающие приток инвестиций.</w:t>
      </w:r>
    </w:p>
    <w:p w14:paraId="021391C5" w14:textId="77777777"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Это:</w:t>
      </w:r>
    </w:p>
    <w:p w14:paraId="43CBDD93" w14:textId="77777777"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ограниченность средств областного бюджета, направляемых на поддержку инвестиционной деятельности;</w:t>
      </w:r>
    </w:p>
    <w:p w14:paraId="7F003448" w14:textId="77777777" w:rsidR="00734F82"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неразвитость механизмов госу</w:t>
      </w:r>
      <w:r w:rsidR="00734F82" w:rsidRPr="0077776F">
        <w:rPr>
          <w:rFonts w:ascii="Times New Roman" w:hAnsi="Times New Roman" w:cs="Times New Roman"/>
          <w:sz w:val="28"/>
          <w:szCs w:val="28"/>
        </w:rPr>
        <w:t>дарственно-частного партнерства;</w:t>
      </w:r>
      <w:r w:rsidRPr="0077776F">
        <w:rPr>
          <w:rFonts w:ascii="Times New Roman" w:hAnsi="Times New Roman" w:cs="Times New Roman"/>
          <w:sz w:val="28"/>
          <w:szCs w:val="28"/>
        </w:rPr>
        <w:t xml:space="preserve"> </w:t>
      </w:r>
    </w:p>
    <w:p w14:paraId="45E2A3DE" w14:textId="77777777"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отсутствие подготовленной инфраструктуры на земельных участках, предлагаемых для создания промышленных парков;</w:t>
      </w:r>
    </w:p>
    <w:p w14:paraId="22B56347" w14:textId="77777777"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отсутствие системности в комплексном решении вопросов подготовки и предоставления инвесторам, реализующим проекты по строительству новых предприятий, объектов инфраструктуры региона;</w:t>
      </w:r>
    </w:p>
    <w:p w14:paraId="23AE564A" w14:textId="77777777"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незначительное число новых инновационных проектов, которые были бы направлены на модернизацию экономики и ее диверсификацию, и, как следствие, низкий уровень инвестиций в инновации, которые позволили бы обеспечивать непрерывное обновление технической и технологической базы производства, снижать себестоимость, осваивать и выпускать новую конкурентоспособную продукцию, проникать на мировые рынки товаров и услуг;</w:t>
      </w:r>
    </w:p>
    <w:p w14:paraId="723110E6" w14:textId="77777777"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неравномерность в развитии, в том числе инвестиционном, муниципальных образований области.</w:t>
      </w:r>
    </w:p>
    <w:p w14:paraId="5F623459" w14:textId="77777777"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Учитывая имеющиеся проблемы, намечены пути дальнейшего </w:t>
      </w:r>
      <w:r w:rsidRPr="0077776F">
        <w:rPr>
          <w:rFonts w:ascii="Times New Roman" w:hAnsi="Times New Roman" w:cs="Times New Roman"/>
          <w:sz w:val="28"/>
          <w:szCs w:val="28"/>
        </w:rPr>
        <w:lastRenderedPageBreak/>
        <w:t>повышения инвестиционной привлекательности Курской области.</w:t>
      </w:r>
    </w:p>
    <w:p w14:paraId="557F30A5" w14:textId="77777777"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Для дальнейшего развития инвестиционной деятельности необходимо продолжать реализацию комплекса мероприятий не только законодательного, но и практического характера, которые позволят обеспечить приток инвестиций в экономику региона на новой системной основе.</w:t>
      </w:r>
    </w:p>
    <w:p w14:paraId="0B79FC84" w14:textId="77777777"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Комплекс мероприятий по повышению инвестиционной привлекательности региона закреплен в Инвестиционной стратегии Курской области</w:t>
      </w:r>
      <w:r w:rsidR="00416B77" w:rsidRPr="0077776F">
        <w:rPr>
          <w:rFonts w:ascii="Times New Roman" w:hAnsi="Times New Roman" w:cs="Times New Roman"/>
          <w:sz w:val="28"/>
          <w:szCs w:val="28"/>
        </w:rPr>
        <w:t xml:space="preserve"> до 2025 года</w:t>
      </w:r>
      <w:r w:rsidRPr="0077776F">
        <w:rPr>
          <w:rFonts w:ascii="Times New Roman" w:hAnsi="Times New Roman" w:cs="Times New Roman"/>
          <w:sz w:val="28"/>
          <w:szCs w:val="28"/>
        </w:rPr>
        <w:t>, утвержденной постановлением Губернатора Курской области от 02.12.2014 № 527-пг.</w:t>
      </w:r>
    </w:p>
    <w:p w14:paraId="61D90DDF" w14:textId="77777777" w:rsidR="00E05CC4"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w:t>
      </w:r>
      <w:r w:rsidRPr="007C4F42">
        <w:rPr>
          <w:rFonts w:ascii="Times New Roman" w:hAnsi="Times New Roman" w:cs="Times New Roman"/>
          <w:sz w:val="28"/>
          <w:szCs w:val="28"/>
        </w:rPr>
        <w:t>соответствии с указанием Президента Российской Федерации В.В. Путина от 08.07.</w:t>
      </w:r>
      <w:r w:rsidR="00E249F3" w:rsidRPr="007C4F42">
        <w:rPr>
          <w:rFonts w:ascii="Times New Roman" w:hAnsi="Times New Roman" w:cs="Times New Roman"/>
          <w:sz w:val="28"/>
          <w:szCs w:val="28"/>
        </w:rPr>
        <w:t>2014 г. № </w:t>
      </w:r>
      <w:r w:rsidRPr="007C4F42">
        <w:rPr>
          <w:rFonts w:ascii="Times New Roman" w:hAnsi="Times New Roman" w:cs="Times New Roman"/>
          <w:sz w:val="28"/>
          <w:szCs w:val="28"/>
        </w:rPr>
        <w:t xml:space="preserve">ПР-1603 органами исполнительной власти области осуществляется работа по внедрению лучших практик Национального рейтинга состояния инвестиционного климата в субъектах Российской Федерации, в соответствии с утвержденной </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дорожной картой</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 xml:space="preserve"> внедрения лучших практик Национального рейтинга состояния инвестиционного климата в Курской области, в которой предусмотрены мероприятия по улучшению позиций Курской области по 50 показателям, сгруппированным по 4 направлениям.</w:t>
      </w:r>
    </w:p>
    <w:p w14:paraId="5EF60D82" w14:textId="3984309E" w:rsidR="001A3545" w:rsidRPr="001A3545" w:rsidRDefault="001A3545" w:rsidP="001A3545">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В 2021 - 202</w:t>
      </w:r>
      <w:r w:rsidR="001F3A85" w:rsidRPr="00D64616">
        <w:rPr>
          <w:rFonts w:ascii="Times New Roman" w:hAnsi="Times New Roman" w:cs="Times New Roman"/>
          <w:sz w:val="28"/>
          <w:szCs w:val="28"/>
        </w:rPr>
        <w:t>5</w:t>
      </w:r>
      <w:r w:rsidRPr="00995CA1">
        <w:rPr>
          <w:rFonts w:ascii="Times New Roman" w:hAnsi="Times New Roman" w:cs="Times New Roman"/>
          <w:sz w:val="28"/>
          <w:szCs w:val="28"/>
        </w:rPr>
        <w:t xml:space="preserve"> годах основные усилия Правительства Курской области и Корпорации будут сосредоточены на развитии созданных промышленных парков в Курском и Щигровском районах. Объем средств областного бюджета, направляемых на создание объектов инфраструктуры промышленных (индустриальных) парков, ежегодно будет уточняться при формировании областного бюджета на очередной финансовый год и плановый период.</w:t>
      </w:r>
    </w:p>
    <w:p w14:paraId="20712AD7" w14:textId="77777777" w:rsidR="00BC6816" w:rsidRPr="004C5D19" w:rsidRDefault="00BC6816" w:rsidP="00BC6816">
      <w:pPr>
        <w:spacing w:after="0" w:line="240" w:lineRule="auto"/>
        <w:ind w:firstLine="709"/>
        <w:jc w:val="both"/>
        <w:rPr>
          <w:rFonts w:ascii="Times New Roman" w:hAnsi="Times New Roman" w:cs="Times New Roman"/>
          <w:sz w:val="28"/>
          <w:szCs w:val="28"/>
        </w:rPr>
      </w:pPr>
      <w:bookmarkStart w:id="7" w:name="_Hlk62487330"/>
      <w:r w:rsidRPr="004C5D19">
        <w:rPr>
          <w:rFonts w:ascii="Times New Roman" w:hAnsi="Times New Roman" w:cs="Times New Roman"/>
          <w:sz w:val="28"/>
          <w:szCs w:val="28"/>
        </w:rPr>
        <w:t>В 2022 году в целях повышения уровня цифровизации процесса взаимодействия органов власти и инвесторов планируется начать работу по созданию единой системы сопровождения и поддержки региональных инвестпроектов. В настоящее время в регионе отсутствует единый инструмент коммуникации инвесторов и органов исполнительной власти Курской области.</w:t>
      </w:r>
    </w:p>
    <w:p w14:paraId="30854230" w14:textId="77777777"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Для упрощения работы инвесторов с органом исполнительной власти, будет создан личный кабинет на сайте «Инвестиционный портал Курской области».</w:t>
      </w:r>
    </w:p>
    <w:p w14:paraId="0348FB3D" w14:textId="77777777"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В базу данных системы предполагается внести сведения о транспортно-логистической, инженерной и образовательной инфраструктурах, специальных налоговых режимах и административно-территориальном делении региона. </w:t>
      </w:r>
    </w:p>
    <w:p w14:paraId="21DB17CC" w14:textId="77777777"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Инвестору в режиме реального времени будет предоставлена возможность обратиться за помощью в решении проблем. Для обеспечения данной функции будет разработан «консультационный механизм фиксации проблем», которые возникнут у инвесторов на уровне региона. Данная система поможет организовать компетентное сопровождение инвесторов со </w:t>
      </w:r>
      <w:r w:rsidRPr="004C5D19">
        <w:rPr>
          <w:rFonts w:ascii="Times New Roman" w:hAnsi="Times New Roman" w:cs="Times New Roman"/>
          <w:sz w:val="28"/>
          <w:szCs w:val="28"/>
        </w:rPr>
        <w:lastRenderedPageBreak/>
        <w:t xml:space="preserve">стороны всех уровней власти, а также оперативное решение насущных вопросов инвесторов в режиме онлайн. </w:t>
      </w:r>
    </w:p>
    <w:p w14:paraId="6D2CAF45" w14:textId="77414F46"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У </w:t>
      </w:r>
      <w:r w:rsidR="00D64616">
        <w:rPr>
          <w:rFonts w:ascii="Times New Roman" w:hAnsi="Times New Roman" w:cs="Times New Roman"/>
          <w:sz w:val="28"/>
          <w:szCs w:val="28"/>
        </w:rPr>
        <w:t>Правительства</w:t>
      </w:r>
      <w:r w:rsidRPr="004C5D19">
        <w:rPr>
          <w:rFonts w:ascii="Times New Roman" w:hAnsi="Times New Roman" w:cs="Times New Roman"/>
          <w:sz w:val="28"/>
          <w:szCs w:val="28"/>
        </w:rPr>
        <w:t xml:space="preserve"> Курской области появится возможность проведения мониторинга реализации этапов того или иного проекта. </w:t>
      </w:r>
    </w:p>
    <w:p w14:paraId="664CE9D1" w14:textId="77777777"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При наличии каких-либо задержек на муниципальном или региональном уровне руководство региона сможет оперативно устранять проблемы инвесторов.</w:t>
      </w:r>
      <w:bookmarkEnd w:id="7"/>
    </w:p>
    <w:p w14:paraId="2FB2EB97"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оказания мер государственной поддержки планируется продолжить предоставление субсидий инвесторам, реализующим инвестиционные проекты.</w:t>
      </w:r>
    </w:p>
    <w:p w14:paraId="7E04D293"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поддержки инновационной деятельности ежегодно будет проводит</w:t>
      </w:r>
      <w:r w:rsidR="00936449" w:rsidRPr="0077776F">
        <w:rPr>
          <w:rFonts w:ascii="Times New Roman" w:hAnsi="Times New Roman" w:cs="Times New Roman"/>
          <w:sz w:val="28"/>
          <w:szCs w:val="28"/>
        </w:rPr>
        <w:t>ь</w:t>
      </w:r>
      <w:r w:rsidRPr="0077776F">
        <w:rPr>
          <w:rFonts w:ascii="Times New Roman" w:hAnsi="Times New Roman" w:cs="Times New Roman"/>
          <w:sz w:val="28"/>
          <w:szCs w:val="28"/>
        </w:rPr>
        <w:t xml:space="preserve">ся конкурс </w:t>
      </w:r>
      <w:r w:rsidR="00A27FD5" w:rsidRPr="0077776F">
        <w:rPr>
          <w:rFonts w:ascii="Times New Roman" w:hAnsi="Times New Roman" w:cs="Times New Roman"/>
          <w:sz w:val="28"/>
          <w:szCs w:val="28"/>
        </w:rPr>
        <w:t>«</w:t>
      </w:r>
      <w:r w:rsidRPr="0077776F">
        <w:rPr>
          <w:rFonts w:ascii="Times New Roman" w:hAnsi="Times New Roman" w:cs="Times New Roman"/>
          <w:sz w:val="28"/>
          <w:szCs w:val="28"/>
        </w:rPr>
        <w:t>Инновация и изобретение года</w:t>
      </w:r>
      <w:r w:rsidR="00A27FD5" w:rsidRPr="0077776F">
        <w:rPr>
          <w:rFonts w:ascii="Times New Roman" w:hAnsi="Times New Roman" w:cs="Times New Roman"/>
          <w:sz w:val="28"/>
          <w:szCs w:val="28"/>
        </w:rPr>
        <w:t>»</w:t>
      </w:r>
      <w:r w:rsidRPr="0077776F">
        <w:rPr>
          <w:rFonts w:ascii="Times New Roman" w:hAnsi="Times New Roman" w:cs="Times New Roman"/>
          <w:sz w:val="28"/>
          <w:szCs w:val="28"/>
        </w:rPr>
        <w:t>.</w:t>
      </w:r>
    </w:p>
    <w:p w14:paraId="1A0F3FA0" w14:textId="77777777" w:rsidR="00AD0A34" w:rsidRPr="0077776F" w:rsidRDefault="00AD0A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Дополнительным источником финансирования для решения задачи по строительству объектов инженерной и дорожной инфраструктуры могут стать средства Инвестиционного фонда Российской Федерации и Инвестиционного фонда Курской области, созда</w:t>
      </w:r>
      <w:r w:rsidR="00936449" w:rsidRPr="0077776F">
        <w:rPr>
          <w:rFonts w:ascii="Times New Roman" w:hAnsi="Times New Roman" w:cs="Times New Roman"/>
          <w:sz w:val="28"/>
          <w:szCs w:val="28"/>
        </w:rPr>
        <w:t>нн</w:t>
      </w:r>
      <w:r w:rsidRPr="0077776F">
        <w:rPr>
          <w:rFonts w:ascii="Times New Roman" w:hAnsi="Times New Roman" w:cs="Times New Roman"/>
          <w:sz w:val="28"/>
          <w:szCs w:val="28"/>
        </w:rPr>
        <w:t>ого в соответствии с Законом Курской области от 29 октября 2013 года № 101-ЗКО</w:t>
      </w:r>
      <w:r w:rsidR="00F72DFD" w:rsidRPr="0077776F">
        <w:rPr>
          <w:rFonts w:ascii="Times New Roman" w:hAnsi="Times New Roman" w:cs="Times New Roman"/>
          <w:sz w:val="28"/>
          <w:szCs w:val="28"/>
        </w:rPr>
        <w:t>. П</w:t>
      </w:r>
      <w:r w:rsidRPr="0077776F">
        <w:rPr>
          <w:rFonts w:ascii="Times New Roman" w:hAnsi="Times New Roman" w:cs="Times New Roman"/>
          <w:sz w:val="28"/>
          <w:szCs w:val="28"/>
        </w:rPr>
        <w:t>орядок формирования и использования бюджетных ассигнований Инвестиционного фонда Курской области  утвержден постановлением Администрации Курской области от 08.12.2014 № 799-па.</w:t>
      </w:r>
    </w:p>
    <w:p w14:paraId="56089818"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Реализация проектов с использованием средств Инвестиционного фонда Курской области </w:t>
      </w:r>
      <w:r w:rsidR="00F12944" w:rsidRPr="0077776F">
        <w:rPr>
          <w:rFonts w:ascii="Times New Roman" w:hAnsi="Times New Roman" w:cs="Times New Roman"/>
          <w:sz w:val="28"/>
          <w:szCs w:val="28"/>
        </w:rPr>
        <w:t>предполагает, что</w:t>
      </w:r>
      <w:r w:rsidRPr="0077776F">
        <w:rPr>
          <w:rFonts w:ascii="Times New Roman" w:hAnsi="Times New Roman" w:cs="Times New Roman"/>
          <w:sz w:val="28"/>
          <w:szCs w:val="28"/>
        </w:rPr>
        <w:t xml:space="preserve"> </w:t>
      </w:r>
      <w:r w:rsidR="00F12944" w:rsidRPr="0077776F">
        <w:rPr>
          <w:rFonts w:ascii="Times New Roman" w:hAnsi="Times New Roman" w:cs="Times New Roman"/>
          <w:sz w:val="28"/>
          <w:szCs w:val="28"/>
        </w:rPr>
        <w:t>о</w:t>
      </w:r>
      <w:r w:rsidRPr="0077776F">
        <w:rPr>
          <w:rFonts w:ascii="Times New Roman" w:hAnsi="Times New Roman" w:cs="Times New Roman"/>
          <w:sz w:val="28"/>
          <w:szCs w:val="28"/>
        </w:rPr>
        <w:t>бласть возьмет на себя расходы по созданию до границ земельного участка инфраструктурных объектов, необходимых для реализации инвестиционного проекта инвестора.</w:t>
      </w:r>
    </w:p>
    <w:p w14:paraId="22BFA8B0" w14:textId="4B54DA65" w:rsidR="0021081C" w:rsidRPr="007C4F42" w:rsidRDefault="00C52110" w:rsidP="00395A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Еще одним направлением, развитие которого </w:t>
      </w:r>
      <w:r w:rsidR="00395AC1" w:rsidRPr="0077776F">
        <w:rPr>
          <w:rFonts w:ascii="Times New Roman" w:hAnsi="Times New Roman" w:cs="Times New Roman"/>
          <w:sz w:val="28"/>
          <w:szCs w:val="28"/>
        </w:rPr>
        <w:t xml:space="preserve">крайне важно для региона, является государственно-частное партнерство (далее </w:t>
      </w:r>
      <w:r w:rsidR="00395AC1" w:rsidRPr="0077776F">
        <w:rPr>
          <w:rFonts w:ascii="Times New Roman" w:hAnsi="Times New Roman" w:cs="Times New Roman"/>
          <w:sz w:val="28"/>
          <w:szCs w:val="28"/>
        </w:rPr>
        <w:noBreakHyphen/>
        <w:t xml:space="preserve"> ГЧП). Реализация инвестиционных проектов </w:t>
      </w:r>
      <w:r w:rsidR="0021081C" w:rsidRPr="0077776F">
        <w:rPr>
          <w:rFonts w:ascii="Times New Roman" w:hAnsi="Times New Roman" w:cs="Times New Roman"/>
          <w:sz w:val="28"/>
          <w:szCs w:val="28"/>
        </w:rPr>
        <w:t xml:space="preserve">ГЧП </w:t>
      </w:r>
      <w:r w:rsidR="00E57AC6" w:rsidRPr="0077776F">
        <w:rPr>
          <w:rFonts w:ascii="Times New Roman" w:hAnsi="Times New Roman" w:cs="Times New Roman"/>
          <w:sz w:val="28"/>
          <w:szCs w:val="28"/>
        </w:rPr>
        <w:t>подразумевает</w:t>
      </w:r>
      <w:r w:rsidR="0021081C" w:rsidRPr="0077776F">
        <w:rPr>
          <w:rFonts w:ascii="Times New Roman" w:hAnsi="Times New Roman" w:cs="Times New Roman"/>
          <w:sz w:val="28"/>
          <w:szCs w:val="28"/>
        </w:rPr>
        <w:t xml:space="preserve"> привлечение средств частного инвестора в те сферы, которые не приносят коммерческой выгоды - социальную сферу, жилищно-коммунальный комплекс, строительство дорог и дорожной инфраструктуры, другие аналогичные направления. С целью решения этого вопроса </w:t>
      </w:r>
      <w:r w:rsidR="00E57AC6" w:rsidRPr="0077776F">
        <w:rPr>
          <w:rFonts w:ascii="Times New Roman" w:hAnsi="Times New Roman" w:cs="Times New Roman"/>
          <w:sz w:val="28"/>
          <w:szCs w:val="28"/>
        </w:rPr>
        <w:t>на федеральном уровне принят Федеральный закон от 13</w:t>
      </w:r>
      <w:r w:rsidR="00F72DFD" w:rsidRPr="0077776F">
        <w:rPr>
          <w:rFonts w:ascii="Times New Roman" w:hAnsi="Times New Roman" w:cs="Times New Roman"/>
          <w:sz w:val="28"/>
          <w:szCs w:val="28"/>
        </w:rPr>
        <w:t xml:space="preserve"> июля </w:t>
      </w:r>
      <w:r w:rsidR="00E57AC6" w:rsidRPr="0077776F">
        <w:rPr>
          <w:rFonts w:ascii="Times New Roman" w:hAnsi="Times New Roman" w:cs="Times New Roman"/>
          <w:sz w:val="28"/>
          <w:szCs w:val="28"/>
        </w:rPr>
        <w:t>2015 г</w:t>
      </w:r>
      <w:r w:rsidR="00F72DFD" w:rsidRPr="0077776F">
        <w:rPr>
          <w:rFonts w:ascii="Times New Roman" w:hAnsi="Times New Roman" w:cs="Times New Roman"/>
          <w:sz w:val="28"/>
          <w:szCs w:val="28"/>
        </w:rPr>
        <w:t>ода</w:t>
      </w:r>
      <w:r w:rsidR="00E57AC6" w:rsidRPr="0077776F">
        <w:rPr>
          <w:rFonts w:ascii="Times New Roman" w:hAnsi="Times New Roman" w:cs="Times New Roman"/>
          <w:sz w:val="28"/>
          <w:szCs w:val="28"/>
        </w:rPr>
        <w:t xml:space="preserve">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w:t>
      </w:r>
      <w:r w:rsidR="00E57AC6" w:rsidRPr="007C4F42">
        <w:rPr>
          <w:rFonts w:ascii="Times New Roman" w:hAnsi="Times New Roman" w:cs="Times New Roman"/>
          <w:sz w:val="28"/>
          <w:szCs w:val="28"/>
        </w:rPr>
        <w:t xml:space="preserve">Российской Федерации». </w:t>
      </w:r>
      <w:r w:rsidR="00FD6D75" w:rsidRPr="007C4F42">
        <w:rPr>
          <w:rFonts w:ascii="Times New Roman" w:hAnsi="Times New Roman" w:cs="Times New Roman"/>
          <w:sz w:val="28"/>
          <w:szCs w:val="28"/>
        </w:rPr>
        <w:t xml:space="preserve">Системная работа </w:t>
      </w:r>
      <w:r w:rsidR="00AE17D5">
        <w:rPr>
          <w:rFonts w:ascii="Times New Roman" w:hAnsi="Times New Roman" w:cs="Times New Roman"/>
          <w:sz w:val="28"/>
          <w:szCs w:val="28"/>
        </w:rPr>
        <w:t>Правительства</w:t>
      </w:r>
      <w:r w:rsidR="00FD6D75" w:rsidRPr="007C4F42">
        <w:rPr>
          <w:rFonts w:ascii="Times New Roman" w:hAnsi="Times New Roman" w:cs="Times New Roman"/>
          <w:sz w:val="28"/>
          <w:szCs w:val="28"/>
        </w:rPr>
        <w:t xml:space="preserve"> Курской области в части сотрудничества с частными инвесторами по привлечению их средств в социальную и другие аналогичные </w:t>
      </w:r>
      <w:r w:rsidR="00936449" w:rsidRPr="007C4F42">
        <w:rPr>
          <w:rFonts w:ascii="Times New Roman" w:hAnsi="Times New Roman" w:cs="Times New Roman"/>
          <w:sz w:val="28"/>
          <w:szCs w:val="28"/>
        </w:rPr>
        <w:t xml:space="preserve">сферы </w:t>
      </w:r>
      <w:r w:rsidR="0021081C" w:rsidRPr="007C4F42">
        <w:rPr>
          <w:rFonts w:ascii="Times New Roman" w:hAnsi="Times New Roman" w:cs="Times New Roman"/>
          <w:sz w:val="28"/>
          <w:szCs w:val="28"/>
        </w:rPr>
        <w:t>позволит решить вопросы финансирования созда</w:t>
      </w:r>
      <w:r w:rsidR="00936449" w:rsidRPr="007C4F42">
        <w:rPr>
          <w:rFonts w:ascii="Times New Roman" w:hAnsi="Times New Roman" w:cs="Times New Roman"/>
          <w:sz w:val="28"/>
          <w:szCs w:val="28"/>
        </w:rPr>
        <w:t>ния социально значимых объектов </w:t>
      </w:r>
      <w:r w:rsidR="0021081C" w:rsidRPr="007C4F42">
        <w:rPr>
          <w:rFonts w:ascii="Times New Roman" w:hAnsi="Times New Roman" w:cs="Times New Roman"/>
          <w:sz w:val="28"/>
          <w:szCs w:val="28"/>
        </w:rPr>
        <w:t>- детских садов, школ, больниц, спортивных объектов при недостаточности средств в областном бюджете.</w:t>
      </w:r>
    </w:p>
    <w:p w14:paraId="2DB724DB" w14:textId="7A459790"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20</w:t>
      </w:r>
      <w:r w:rsidR="0067063C">
        <w:rPr>
          <w:rFonts w:ascii="Times New Roman" w:hAnsi="Times New Roman" w:cs="Times New Roman"/>
          <w:sz w:val="28"/>
          <w:szCs w:val="28"/>
        </w:rPr>
        <w:t>21</w:t>
      </w:r>
      <w:r w:rsidR="00252850" w:rsidRPr="007C4F42">
        <w:rPr>
          <w:rFonts w:ascii="Times New Roman" w:hAnsi="Times New Roman" w:cs="Times New Roman"/>
          <w:sz w:val="28"/>
          <w:szCs w:val="28"/>
        </w:rPr>
        <w:t xml:space="preserve"> - 202</w:t>
      </w:r>
      <w:r w:rsidR="008C2425">
        <w:rPr>
          <w:rFonts w:ascii="Times New Roman" w:hAnsi="Times New Roman" w:cs="Times New Roman"/>
          <w:sz w:val="28"/>
          <w:szCs w:val="28"/>
        </w:rPr>
        <w:t>5</w:t>
      </w:r>
      <w:r w:rsidRPr="007C4F42">
        <w:rPr>
          <w:rFonts w:ascii="Times New Roman" w:hAnsi="Times New Roman" w:cs="Times New Roman"/>
          <w:sz w:val="28"/>
          <w:szCs w:val="28"/>
        </w:rPr>
        <w:t xml:space="preserve"> годах </w:t>
      </w:r>
      <w:r w:rsidR="0067063C">
        <w:rPr>
          <w:rFonts w:ascii="Times New Roman" w:hAnsi="Times New Roman" w:cs="Times New Roman"/>
          <w:sz w:val="28"/>
          <w:szCs w:val="28"/>
        </w:rPr>
        <w:t>Правительство</w:t>
      </w:r>
      <w:r w:rsidRPr="007C4F42">
        <w:rPr>
          <w:rFonts w:ascii="Times New Roman" w:hAnsi="Times New Roman" w:cs="Times New Roman"/>
          <w:sz w:val="28"/>
          <w:szCs w:val="28"/>
        </w:rPr>
        <w:t xml:space="preserve"> Курской области будет решать задачу повышения качества управления инвестиционными процессами. В подпрограмме предусматриваются средства областного бюджета на обучение специалистов отраслевых органов исполнительной власти области </w:t>
      </w:r>
      <w:r w:rsidRPr="007C4F42">
        <w:rPr>
          <w:rFonts w:ascii="Times New Roman" w:hAnsi="Times New Roman" w:cs="Times New Roman"/>
          <w:sz w:val="28"/>
          <w:szCs w:val="28"/>
        </w:rPr>
        <w:lastRenderedPageBreak/>
        <w:t>и повышение их квалификации по вопросам инвестиционной деятельности.</w:t>
      </w:r>
    </w:p>
    <w:p w14:paraId="660DB2E2" w14:textId="77777777" w:rsidR="00AD0A34" w:rsidRPr="007C4F42" w:rsidRDefault="00AD0A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Одним из проблемных вопросов, сдерживающих темпы привлечения инвестиций и на уровне Российской Федерации, и в Курской области является сложность и длительность установленных процедур по получению разрешений и согласований для начала реализации инвестиционного проекта. В целях упрощения указанных процедур</w:t>
      </w:r>
      <w:r w:rsidR="001A3545">
        <w:rPr>
          <w:rFonts w:ascii="Times New Roman" w:hAnsi="Times New Roman" w:cs="Times New Roman"/>
          <w:sz w:val="28"/>
          <w:szCs w:val="28"/>
        </w:rPr>
        <w:t xml:space="preserve"> Корпорация</w:t>
      </w:r>
      <w:r w:rsidRPr="007C4F42">
        <w:rPr>
          <w:rFonts w:ascii="Times New Roman" w:hAnsi="Times New Roman" w:cs="Times New Roman"/>
          <w:sz w:val="28"/>
          <w:szCs w:val="28"/>
        </w:rPr>
        <w:t xml:space="preserve"> осуществляет сопровождение инвесторов (инвестиционных проектов)</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 xml:space="preserve">  работу с инвестором по принципу «одного окна». </w:t>
      </w:r>
      <w:r w:rsidR="00936449" w:rsidRPr="007C4F42">
        <w:rPr>
          <w:rFonts w:ascii="Times New Roman" w:hAnsi="Times New Roman" w:cs="Times New Roman"/>
          <w:sz w:val="28"/>
          <w:szCs w:val="28"/>
        </w:rPr>
        <w:t>Процедуры</w:t>
      </w:r>
      <w:r w:rsidRPr="007C4F42">
        <w:rPr>
          <w:rFonts w:ascii="Times New Roman" w:hAnsi="Times New Roman" w:cs="Times New Roman"/>
          <w:sz w:val="28"/>
          <w:szCs w:val="28"/>
        </w:rPr>
        <w:t xml:space="preserve"> получени</w:t>
      </w:r>
      <w:r w:rsidR="00936449" w:rsidRPr="007C4F42">
        <w:rPr>
          <w:rFonts w:ascii="Times New Roman" w:hAnsi="Times New Roman" w:cs="Times New Roman"/>
          <w:sz w:val="28"/>
          <w:szCs w:val="28"/>
        </w:rPr>
        <w:t>я</w:t>
      </w:r>
      <w:r w:rsidRPr="007C4F42">
        <w:rPr>
          <w:rFonts w:ascii="Times New Roman" w:hAnsi="Times New Roman" w:cs="Times New Roman"/>
          <w:sz w:val="28"/>
          <w:szCs w:val="28"/>
        </w:rPr>
        <w:t xml:space="preserve"> инвестором согла</w:t>
      </w:r>
      <w:r w:rsidR="00700B9A" w:rsidRPr="007C4F42">
        <w:rPr>
          <w:rFonts w:ascii="Times New Roman" w:hAnsi="Times New Roman" w:cs="Times New Roman"/>
          <w:sz w:val="28"/>
          <w:szCs w:val="28"/>
        </w:rPr>
        <w:t>сований и разрешений, оформления</w:t>
      </w:r>
      <w:r w:rsidRPr="007C4F42">
        <w:rPr>
          <w:rFonts w:ascii="Times New Roman" w:hAnsi="Times New Roman" w:cs="Times New Roman"/>
          <w:sz w:val="28"/>
          <w:szCs w:val="28"/>
        </w:rPr>
        <w:t xml:space="preserve"> необходимых для этого документов планируется осуществлять в тесном взаимодействии с ОБУ «Многофункциональный центр по предоставлению государственных муниципальных услуг» (далее - МФЦ).</w:t>
      </w:r>
    </w:p>
    <w:p w14:paraId="36947353" w14:textId="77777777" w:rsidR="00CB2A1D" w:rsidRDefault="00CB2A1D" w:rsidP="00CB2A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Важнейшее значение для активизации работы по привлечению инвесторов имеет информационная открытость и доступность информации об условиях инвестирования в область, предоставляемых формах государственной поддержки, приоритетных для инвестирования отраслях. В сети Интернет функционирует Инвестиционный портал Курской области (</w:t>
      </w:r>
      <w:hyperlink r:id="rId9" w:history="1">
        <w:r w:rsidR="001A3545" w:rsidRPr="0043725A">
          <w:rPr>
            <w:rStyle w:val="aa"/>
            <w:rFonts w:ascii="Times New Roman" w:hAnsi="Times New Roman" w:cs="Times New Roman"/>
            <w:sz w:val="28"/>
            <w:szCs w:val="28"/>
          </w:rPr>
          <w:t>www.kurskoblinvest.ru</w:t>
        </w:r>
      </w:hyperlink>
      <w:r w:rsidRPr="007C4F42">
        <w:rPr>
          <w:rFonts w:ascii="Times New Roman" w:hAnsi="Times New Roman" w:cs="Times New Roman"/>
          <w:sz w:val="28"/>
          <w:szCs w:val="28"/>
        </w:rPr>
        <w:t>).</w:t>
      </w:r>
    </w:p>
    <w:p w14:paraId="744356BA" w14:textId="784EFCEA" w:rsidR="00642D70" w:rsidRDefault="00642D70" w:rsidP="00642D70">
      <w:pPr>
        <w:pStyle w:val="ConsPlusNormal"/>
        <w:ind w:firstLine="709"/>
        <w:jc w:val="both"/>
        <w:rPr>
          <w:rFonts w:ascii="Times New Roman" w:hAnsi="Times New Roman" w:cs="Times New Roman"/>
          <w:sz w:val="28"/>
          <w:szCs w:val="28"/>
        </w:rPr>
      </w:pPr>
      <w:r w:rsidRPr="00642D70">
        <w:rPr>
          <w:rFonts w:ascii="Times New Roman" w:hAnsi="Times New Roman" w:cs="Times New Roman"/>
          <w:sz w:val="28"/>
          <w:szCs w:val="28"/>
        </w:rPr>
        <w:t>В 2022 году в Курской области в соответствии с приказом Минэкономразвития России от 30.09.2021 № 591 «О системе поддержки новых инвестиционных проектов в субъектах Российской Федерации («Региональный инвестиционный стандарт»)» (далее – Приказ № 591) начата реализация Регионального инвестиционного стандарта. В рамках данной работы утверждена Инвестиционная декларация Курской области, создан инвестиционный комитет Курской области, инвестиционная карта Курской области приведена в соответствие с требованиями Приказа № 591, утверждены алгоритмы действий инвестора при получении разрешительной документации, а также при подключении к объектам инфраструктуры и при получении земельных участков. В установленном порядке проводится мониторинг и подтверждение внедрения системы поддержки новых инвестиционных проектов.</w:t>
      </w:r>
    </w:p>
    <w:p w14:paraId="09498516" w14:textId="03BF1191" w:rsidR="00556741" w:rsidRPr="00642D70" w:rsidRDefault="00430E6B" w:rsidP="00642D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2016 – 2025 годах стоит задача не только расширить масштабы инвестирования реального сектора экономики, но и изменить качество инвестиций за счет усиления инновационной направленности инвестиционной деятельности.</w:t>
      </w:r>
    </w:p>
    <w:p w14:paraId="56631C6C" w14:textId="77777777" w:rsidR="00734F82" w:rsidRPr="007C4F42" w:rsidRDefault="00734F82" w:rsidP="00CB2A1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3464901" w14:textId="77777777" w:rsidR="0021081C" w:rsidRPr="0077776F" w:rsidRDefault="0021081C" w:rsidP="00DF7438">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8" w:name="Par1529"/>
      <w:bookmarkEnd w:id="8"/>
      <w:r w:rsidRPr="007C4F42">
        <w:rPr>
          <w:rFonts w:ascii="Times New Roman" w:hAnsi="Times New Roman" w:cs="Times New Roman"/>
          <w:b/>
          <w:sz w:val="28"/>
          <w:szCs w:val="28"/>
        </w:rPr>
        <w:t>Раздел 2. П</w:t>
      </w:r>
      <w:r w:rsidR="00DF7438" w:rsidRPr="007C4F42">
        <w:rPr>
          <w:rFonts w:ascii="Times New Roman" w:hAnsi="Times New Roman" w:cs="Times New Roman"/>
          <w:b/>
          <w:sz w:val="28"/>
          <w:szCs w:val="28"/>
        </w:rPr>
        <w:t>риоритеты государственной</w:t>
      </w:r>
      <w:r w:rsidR="00DF7438" w:rsidRPr="0077776F">
        <w:rPr>
          <w:rFonts w:ascii="Times New Roman" w:hAnsi="Times New Roman" w:cs="Times New Roman"/>
          <w:b/>
          <w:sz w:val="28"/>
          <w:szCs w:val="28"/>
        </w:rPr>
        <w:t xml:space="preserve"> политики в сфере реализации подпрограммы, цели, задачи и показатели (индикаторы)</w:t>
      </w:r>
    </w:p>
    <w:p w14:paraId="2A6B892D" w14:textId="77777777" w:rsidR="0021081C" w:rsidRPr="0077776F" w:rsidRDefault="00DF7438">
      <w:pPr>
        <w:widowControl w:val="0"/>
        <w:autoSpaceDE w:val="0"/>
        <w:autoSpaceDN w:val="0"/>
        <w:adjustRightInd w:val="0"/>
        <w:spacing w:after="0" w:line="240" w:lineRule="auto"/>
        <w:jc w:val="center"/>
        <w:rPr>
          <w:rFonts w:ascii="Times New Roman" w:hAnsi="Times New Roman" w:cs="Times New Roman"/>
          <w:b/>
          <w:sz w:val="28"/>
          <w:szCs w:val="28"/>
        </w:rPr>
      </w:pPr>
      <w:r w:rsidRPr="0077776F">
        <w:rPr>
          <w:rFonts w:ascii="Times New Roman" w:hAnsi="Times New Roman" w:cs="Times New Roman"/>
          <w:b/>
          <w:sz w:val="28"/>
          <w:szCs w:val="28"/>
        </w:rPr>
        <w:t>достижения целей и решения задач, описание основных ожидаемых конечных результатов подпрограммы</w:t>
      </w:r>
      <w:r w:rsidR="0021081C" w:rsidRPr="0077776F">
        <w:rPr>
          <w:rFonts w:ascii="Times New Roman" w:hAnsi="Times New Roman" w:cs="Times New Roman"/>
          <w:b/>
          <w:sz w:val="28"/>
          <w:szCs w:val="28"/>
        </w:rPr>
        <w:t xml:space="preserve">, </w:t>
      </w:r>
      <w:r w:rsidRPr="0077776F">
        <w:rPr>
          <w:rFonts w:ascii="Times New Roman" w:hAnsi="Times New Roman" w:cs="Times New Roman"/>
          <w:b/>
          <w:sz w:val="28"/>
          <w:szCs w:val="28"/>
        </w:rPr>
        <w:t>сроков и контрольных этапов реализации подпрограммы</w:t>
      </w:r>
    </w:p>
    <w:p w14:paraId="7A7A46B4" w14:textId="77777777"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14:paraId="3FF772E8"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Приоритетом региональной инвестиционной политики на долгосрочную перспективу является содействие модернизации </w:t>
      </w:r>
      <w:r w:rsidRPr="0077776F">
        <w:rPr>
          <w:rFonts w:ascii="Times New Roman" w:hAnsi="Times New Roman" w:cs="Times New Roman"/>
          <w:sz w:val="28"/>
          <w:szCs w:val="28"/>
        </w:rPr>
        <w:lastRenderedPageBreak/>
        <w:t xml:space="preserve">производства и его структурной перестройке, повышению конкурентоспособности промышленности, ускоренному инвестиционному развитию важнейших секторов экономики, </w:t>
      </w:r>
      <w:r w:rsidR="008D7A8F">
        <w:rPr>
          <w:rFonts w:ascii="Times New Roman" w:hAnsi="Times New Roman" w:cs="Times New Roman"/>
          <w:sz w:val="28"/>
          <w:szCs w:val="28"/>
        </w:rPr>
        <w:t xml:space="preserve">в том числе обрабатывающих производств, </w:t>
      </w:r>
      <w:r w:rsidRPr="0077776F">
        <w:rPr>
          <w:rFonts w:ascii="Times New Roman" w:hAnsi="Times New Roman" w:cs="Times New Roman"/>
          <w:sz w:val="28"/>
          <w:szCs w:val="28"/>
        </w:rPr>
        <w:t>становлению инновационных отраслей и производств.</w:t>
      </w:r>
    </w:p>
    <w:p w14:paraId="13001084"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Приоритетом региональной государственной политики в сфере реализации подпрограммы является содействие:</w:t>
      </w:r>
    </w:p>
    <w:p w14:paraId="04865074"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модернизации производства и его структурной перестройке;</w:t>
      </w:r>
    </w:p>
    <w:p w14:paraId="2FC923F8"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повышению конкурентоспособности промышленности;</w:t>
      </w:r>
    </w:p>
    <w:p w14:paraId="5275B2EA"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ускоренному инвестиционному развитию важнейших секторов экономики</w:t>
      </w:r>
      <w:r w:rsidR="008D7A8F">
        <w:rPr>
          <w:rFonts w:ascii="Times New Roman" w:hAnsi="Times New Roman" w:cs="Times New Roman"/>
          <w:sz w:val="28"/>
          <w:szCs w:val="28"/>
        </w:rPr>
        <w:t>, в том числе обрабатывающих производств</w:t>
      </w:r>
      <w:r w:rsidRPr="0077776F">
        <w:rPr>
          <w:rFonts w:ascii="Times New Roman" w:hAnsi="Times New Roman" w:cs="Times New Roman"/>
          <w:sz w:val="28"/>
          <w:szCs w:val="28"/>
        </w:rPr>
        <w:t>;</w:t>
      </w:r>
    </w:p>
    <w:p w14:paraId="085DA256"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становлению инновационных отраслей и производств.</w:t>
      </w:r>
    </w:p>
    <w:p w14:paraId="0B29833B"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Приоритетами государственной политики в сфере реализации подпрограммы являются:</w:t>
      </w:r>
    </w:p>
    <w:p w14:paraId="529C1492"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инвестиционной привлекательности Курской области для стратегических инвесторов, включая иностранных;</w:t>
      </w:r>
    </w:p>
    <w:p w14:paraId="48CE1056"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создание правовых, административных и финансовых условий для развития инфраструктуры инвестиционной деятельности, прежде всего, в части создания промышленных парков</w:t>
      </w:r>
      <w:r w:rsidR="008D7A8F">
        <w:rPr>
          <w:rFonts w:ascii="Times New Roman" w:hAnsi="Times New Roman" w:cs="Times New Roman"/>
          <w:sz w:val="28"/>
          <w:szCs w:val="28"/>
        </w:rPr>
        <w:t xml:space="preserve"> и создания на территории моногорода Железногорска и прилегающей территории Железногорского района особой экономической зоны;</w:t>
      </w:r>
    </w:p>
    <w:p w14:paraId="24559147"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доступности для инвесторов объектов инженерной инфраструктуры, сокращение сроков прохождения инвесторами согласовательных и разрешительных процедур для начала реализации инвестиционного проекта;</w:t>
      </w:r>
    </w:p>
    <w:p w14:paraId="01B32910"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стимулирующей роли государственной поддержки инвестиционной деятельности, прежде всего, в обрабатывающих отраслях.</w:t>
      </w:r>
    </w:p>
    <w:p w14:paraId="513AFD3D" w14:textId="23CDCA83"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Указанные приоритеты определены, исходя из </w:t>
      </w:r>
      <w:hyperlink r:id="rId10" w:history="1">
        <w:r w:rsidRPr="0077776F">
          <w:rPr>
            <w:rFonts w:ascii="Times New Roman" w:hAnsi="Times New Roman" w:cs="Times New Roman"/>
            <w:sz w:val="28"/>
            <w:szCs w:val="28"/>
          </w:rPr>
          <w:t>Стратегии</w:t>
        </w:r>
      </w:hyperlink>
      <w:r w:rsidRPr="0077776F">
        <w:rPr>
          <w:rFonts w:ascii="Times New Roman" w:hAnsi="Times New Roman" w:cs="Times New Roman"/>
          <w:sz w:val="28"/>
          <w:szCs w:val="28"/>
        </w:rPr>
        <w:t xml:space="preserve"> социально-экономического развития Курской области на период до 2020 года, одобренной </w:t>
      </w:r>
      <w:hyperlink r:id="rId11"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Курской областной Думы от 24.05.2007 </w:t>
      </w:r>
      <w:r w:rsidR="004D7570" w:rsidRPr="0077776F">
        <w:rPr>
          <w:rFonts w:ascii="Times New Roman" w:hAnsi="Times New Roman" w:cs="Times New Roman"/>
          <w:sz w:val="28"/>
          <w:szCs w:val="28"/>
        </w:rPr>
        <w:t>№</w:t>
      </w:r>
      <w:r w:rsidR="00734F82" w:rsidRPr="0077776F">
        <w:rPr>
          <w:rFonts w:ascii="Times New Roman" w:hAnsi="Times New Roman" w:cs="Times New Roman"/>
          <w:sz w:val="28"/>
          <w:szCs w:val="28"/>
        </w:rPr>
        <w:t xml:space="preserve"> 381-IV ОД, Закона Курской области</w:t>
      </w:r>
      <w:r w:rsidRPr="0077776F">
        <w:rPr>
          <w:rFonts w:ascii="Times New Roman" w:hAnsi="Times New Roman" w:cs="Times New Roman"/>
          <w:sz w:val="28"/>
          <w:szCs w:val="28"/>
        </w:rPr>
        <w:t xml:space="preserve"> от 12 августа 2004 года </w:t>
      </w:r>
      <w:hyperlink r:id="rId12" w:history="1">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37-ЗКО</w:t>
        </w:r>
      </w:hyperlink>
      <w:r w:rsidR="004D7570" w:rsidRPr="0077776F">
        <w:rPr>
          <w:rFonts w:ascii="Times New Roman" w:hAnsi="Times New Roman" w:cs="Times New Roman"/>
          <w:sz w:val="28"/>
          <w:szCs w:val="28"/>
        </w:rPr>
        <w:t xml:space="preserve"> «</w:t>
      </w:r>
      <w:r w:rsidRPr="0077776F">
        <w:rPr>
          <w:rFonts w:ascii="Times New Roman" w:hAnsi="Times New Roman" w:cs="Times New Roman"/>
          <w:sz w:val="28"/>
          <w:szCs w:val="28"/>
        </w:rPr>
        <w:t>Об инвестиционной деятельности в Курской области</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w:t>
      </w:r>
      <w:r w:rsidR="00F72DFD" w:rsidRPr="0077776F">
        <w:rPr>
          <w:rFonts w:ascii="Times New Roman" w:hAnsi="Times New Roman" w:cs="Times New Roman"/>
          <w:sz w:val="28"/>
          <w:szCs w:val="28"/>
        </w:rPr>
        <w:t>О</w:t>
      </w:r>
      <w:r w:rsidRPr="0077776F">
        <w:rPr>
          <w:rFonts w:ascii="Times New Roman" w:hAnsi="Times New Roman" w:cs="Times New Roman"/>
          <w:sz w:val="28"/>
          <w:szCs w:val="28"/>
        </w:rPr>
        <w:t xml:space="preserve">сновных направлений деятельности Администрации Курской области на 2011 - 2013 годы, утвержденных </w:t>
      </w:r>
      <w:hyperlink r:id="rId13"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Администрации Курской области от 01.12.2010</w:t>
      </w:r>
      <w:r w:rsidR="004D7570" w:rsidRPr="0077776F">
        <w:rPr>
          <w:rFonts w:ascii="Times New Roman" w:hAnsi="Times New Roman" w:cs="Times New Roman"/>
          <w:sz w:val="28"/>
          <w:szCs w:val="28"/>
        </w:rPr>
        <w:t xml:space="preserve"> №</w:t>
      </w:r>
      <w:r w:rsidRPr="0077776F">
        <w:rPr>
          <w:rFonts w:ascii="Times New Roman" w:hAnsi="Times New Roman" w:cs="Times New Roman"/>
          <w:sz w:val="28"/>
          <w:szCs w:val="28"/>
        </w:rPr>
        <w:t xml:space="preserve"> 576-па.</w:t>
      </w:r>
      <w:r w:rsidR="00765B35">
        <w:rPr>
          <w:rFonts w:ascii="Times New Roman" w:hAnsi="Times New Roman" w:cs="Times New Roman"/>
          <w:sz w:val="28"/>
          <w:szCs w:val="28"/>
        </w:rPr>
        <w:t xml:space="preserve"> В период 2013 – 2015 годов приоритеты актуальны и определены в Стратегии социально-экономического развития Курской области на период до 2030 года, утвержденной Законом Курской области от 14 декабря 2020 года № 100-ЗКО, и в Инвестиционной стратегии Курской области до 2025 года, утвержденной </w:t>
      </w:r>
      <w:r w:rsidR="005045F2">
        <w:rPr>
          <w:rFonts w:ascii="Times New Roman" w:hAnsi="Times New Roman" w:cs="Times New Roman"/>
          <w:sz w:val="28"/>
          <w:szCs w:val="28"/>
        </w:rPr>
        <w:t>постановлением Губернатора Курской области от 02.12.2014 № 527-пг.</w:t>
      </w:r>
    </w:p>
    <w:p w14:paraId="5F11F05E"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w:t>
      </w:r>
      <w:r w:rsidR="00F72DFD" w:rsidRPr="0077776F">
        <w:rPr>
          <w:rFonts w:ascii="Times New Roman" w:hAnsi="Times New Roman" w:cs="Times New Roman"/>
          <w:sz w:val="28"/>
          <w:szCs w:val="28"/>
        </w:rPr>
        <w:t xml:space="preserve">ями </w:t>
      </w:r>
      <w:r w:rsidRPr="0077776F">
        <w:rPr>
          <w:rFonts w:ascii="Times New Roman" w:hAnsi="Times New Roman" w:cs="Times New Roman"/>
          <w:sz w:val="28"/>
          <w:szCs w:val="28"/>
        </w:rPr>
        <w:t>подпрограммы явля</w:t>
      </w:r>
      <w:r w:rsidR="00F72DFD" w:rsidRPr="0077776F">
        <w:rPr>
          <w:rFonts w:ascii="Times New Roman" w:hAnsi="Times New Roman" w:cs="Times New Roman"/>
          <w:sz w:val="28"/>
          <w:szCs w:val="28"/>
        </w:rPr>
        <w:t>ю</w:t>
      </w:r>
      <w:r w:rsidRPr="0077776F">
        <w:rPr>
          <w:rFonts w:ascii="Times New Roman" w:hAnsi="Times New Roman" w:cs="Times New Roman"/>
          <w:sz w:val="28"/>
          <w:szCs w:val="28"/>
        </w:rPr>
        <w:t>тся создание благоприятных условий для привлечения инвестиций в экономику Курской области и формирование благоприятного инвестиционного климата</w:t>
      </w:r>
      <w:r w:rsidR="008D7A8F">
        <w:rPr>
          <w:rFonts w:ascii="Times New Roman" w:hAnsi="Times New Roman" w:cs="Times New Roman"/>
          <w:sz w:val="28"/>
          <w:szCs w:val="28"/>
        </w:rPr>
        <w:t>, в том числе путем формирования особой экономической зоны</w:t>
      </w:r>
      <w:r w:rsidRPr="0077776F">
        <w:rPr>
          <w:rFonts w:ascii="Times New Roman" w:hAnsi="Times New Roman" w:cs="Times New Roman"/>
          <w:sz w:val="28"/>
          <w:szCs w:val="28"/>
        </w:rPr>
        <w:t>.</w:t>
      </w:r>
    </w:p>
    <w:p w14:paraId="4E3F2382"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Достижение указанн</w:t>
      </w:r>
      <w:r w:rsidR="00F72DFD" w:rsidRPr="0077776F">
        <w:rPr>
          <w:rFonts w:ascii="Times New Roman" w:hAnsi="Times New Roman" w:cs="Times New Roman"/>
          <w:sz w:val="28"/>
          <w:szCs w:val="28"/>
        </w:rPr>
        <w:t>ых</w:t>
      </w:r>
      <w:r w:rsidRPr="0077776F">
        <w:rPr>
          <w:rFonts w:ascii="Times New Roman" w:hAnsi="Times New Roman" w:cs="Times New Roman"/>
          <w:sz w:val="28"/>
          <w:szCs w:val="28"/>
        </w:rPr>
        <w:t xml:space="preserve"> цел</w:t>
      </w:r>
      <w:r w:rsidR="00F72DFD" w:rsidRPr="0077776F">
        <w:rPr>
          <w:rFonts w:ascii="Times New Roman" w:hAnsi="Times New Roman" w:cs="Times New Roman"/>
          <w:sz w:val="28"/>
          <w:szCs w:val="28"/>
        </w:rPr>
        <w:t>ей</w:t>
      </w:r>
      <w:r w:rsidRPr="0077776F">
        <w:rPr>
          <w:rFonts w:ascii="Times New Roman" w:hAnsi="Times New Roman" w:cs="Times New Roman"/>
          <w:sz w:val="28"/>
          <w:szCs w:val="28"/>
        </w:rPr>
        <w:t xml:space="preserve"> обеспечивается решением следующих </w:t>
      </w:r>
      <w:r w:rsidRPr="0077776F">
        <w:rPr>
          <w:rFonts w:ascii="Times New Roman" w:hAnsi="Times New Roman" w:cs="Times New Roman"/>
          <w:sz w:val="28"/>
          <w:szCs w:val="28"/>
        </w:rPr>
        <w:lastRenderedPageBreak/>
        <w:t>задач:</w:t>
      </w:r>
    </w:p>
    <w:p w14:paraId="67421880" w14:textId="77777777" w:rsidR="00DB49FC" w:rsidRPr="0077776F" w:rsidRDefault="00DB49FC" w:rsidP="00DB49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обеспечение дальнейшего развития административной и информационной среды для инвестиций;</w:t>
      </w:r>
    </w:p>
    <w:p w14:paraId="6DB2E461" w14:textId="77777777" w:rsidR="00DB49FC" w:rsidRPr="0077776F" w:rsidRDefault="00DB49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осуществление государственной поддержки инвесторам и субъектам инновационной деятельности</w:t>
      </w:r>
      <w:r w:rsidR="00A66700">
        <w:rPr>
          <w:rFonts w:ascii="Times New Roman" w:hAnsi="Times New Roman" w:cs="Times New Roman"/>
          <w:sz w:val="28"/>
          <w:szCs w:val="28"/>
        </w:rPr>
        <w:t>;</w:t>
      </w:r>
    </w:p>
    <w:p w14:paraId="02F03D13" w14:textId="77777777" w:rsidR="00A66700" w:rsidRDefault="00A66700" w:rsidP="00A66700">
      <w:pPr>
        <w:spacing w:after="0" w:line="240" w:lineRule="auto"/>
        <w:ind w:firstLine="709"/>
        <w:jc w:val="both"/>
        <w:rPr>
          <w:rFonts w:ascii="Times New Roman" w:hAnsi="Times New Roman"/>
          <w:sz w:val="28"/>
          <w:szCs w:val="28"/>
        </w:rPr>
      </w:pPr>
      <w:r>
        <w:rPr>
          <w:rFonts w:ascii="Times New Roman" w:hAnsi="Times New Roman"/>
          <w:sz w:val="28"/>
          <w:szCs w:val="28"/>
        </w:rPr>
        <w:t>р</w:t>
      </w:r>
      <w:r>
        <w:rPr>
          <w:rFonts w:ascii="Times New Roman" w:hAnsi="Times New Roman" w:cs="Times New Roman"/>
          <w:sz w:val="28"/>
          <w:szCs w:val="28"/>
        </w:rPr>
        <w:t>еализация мероприятий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входящих в состав федеральных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 и поддержка занятости.</w:t>
      </w:r>
    </w:p>
    <w:p w14:paraId="5563C1AA"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Достижение цел</w:t>
      </w:r>
      <w:r w:rsidR="00DB49FC" w:rsidRPr="0077776F">
        <w:rPr>
          <w:rFonts w:ascii="Times New Roman" w:hAnsi="Times New Roman" w:cs="Times New Roman"/>
          <w:sz w:val="28"/>
          <w:szCs w:val="28"/>
        </w:rPr>
        <w:t>ей</w:t>
      </w:r>
      <w:r w:rsidRPr="0077776F">
        <w:rPr>
          <w:rFonts w:ascii="Times New Roman" w:hAnsi="Times New Roman" w:cs="Times New Roman"/>
          <w:sz w:val="28"/>
          <w:szCs w:val="28"/>
        </w:rPr>
        <w:t xml:space="preserve"> и решение поставленных подпрограммой задач целесообразно осуществить программно-целевым методом путем объединения ресурсов по различным мероприятиям и единообразия программно-технических решений.</w:t>
      </w:r>
    </w:p>
    <w:p w14:paraId="6F0986B3"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Целесообразность решения проблемы улучшения условий для привлечения инвестиций в экономику Курской области программно-целевым методом определяется следующими факторами:</w:t>
      </w:r>
    </w:p>
    <w:p w14:paraId="5B81801B"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масштабностью и социальной значимостью проблем;</w:t>
      </w:r>
    </w:p>
    <w:p w14:paraId="121C680C"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ресурсоемкостью решения проблем и нахождением основной части ресурсов в областной собственности;</w:t>
      </w:r>
    </w:p>
    <w:p w14:paraId="66D05ED6"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областным значением проблем, что определяется наличием актуальных социально-экономических задач, относящихся к компетенции органов государственной власти регионального уровня, решение которых прямо или косвенно связано с эффективным развитием всего социально-экономического комплекса;</w:t>
      </w:r>
    </w:p>
    <w:p w14:paraId="62D326B6"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необходимостью системного подхода и комплексного решения отдельных направлений политики в сфере инвестиционной деятельности, в том числе согласования мероприятий по содержанию, технологиям реализации и по времени осуществления.</w:t>
      </w:r>
    </w:p>
    <w:p w14:paraId="5980EE54"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Целевыми показателями (индикаторами) подпрограммы будут являться:</w:t>
      </w:r>
    </w:p>
    <w:p w14:paraId="42440108"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объем инвестиций в основной капитал, млрд. рублей;</w:t>
      </w:r>
    </w:p>
    <w:p w14:paraId="45E854B1"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объем инвестиций в основной капитал на душу населения, тыс. рублей;</w:t>
      </w:r>
    </w:p>
    <w:p w14:paraId="7D05DA65" w14:textId="77777777"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площадь </w:t>
      </w:r>
      <w:r w:rsidRPr="007C4F42">
        <w:rPr>
          <w:rFonts w:ascii="Times New Roman" w:hAnsi="Times New Roman" w:cs="Times New Roman"/>
          <w:sz w:val="28"/>
          <w:szCs w:val="28"/>
        </w:rPr>
        <w:t>промышленн</w:t>
      </w:r>
      <w:r w:rsidR="00F72DFD" w:rsidRPr="007C4F42">
        <w:rPr>
          <w:rFonts w:ascii="Times New Roman" w:hAnsi="Times New Roman" w:cs="Times New Roman"/>
          <w:sz w:val="28"/>
          <w:szCs w:val="28"/>
        </w:rPr>
        <w:t>ых</w:t>
      </w:r>
      <w:r w:rsidRPr="007C4F42">
        <w:rPr>
          <w:rFonts w:ascii="Times New Roman" w:hAnsi="Times New Roman" w:cs="Times New Roman"/>
          <w:sz w:val="28"/>
          <w:szCs w:val="28"/>
        </w:rPr>
        <w:t xml:space="preserve"> парк</w:t>
      </w:r>
      <w:r w:rsidR="00F72DFD" w:rsidRPr="007C4F42">
        <w:rPr>
          <w:rFonts w:ascii="Times New Roman" w:hAnsi="Times New Roman" w:cs="Times New Roman"/>
          <w:sz w:val="28"/>
          <w:szCs w:val="28"/>
        </w:rPr>
        <w:t>ов</w:t>
      </w:r>
      <w:r w:rsidRPr="007C4F42">
        <w:rPr>
          <w:rFonts w:ascii="Times New Roman" w:hAnsi="Times New Roman" w:cs="Times New Roman"/>
          <w:sz w:val="28"/>
          <w:szCs w:val="28"/>
        </w:rPr>
        <w:t>, занимаемая резидентами, % от общей площади парк</w:t>
      </w:r>
      <w:r w:rsidR="00F72DFD" w:rsidRPr="007C4F42">
        <w:rPr>
          <w:rFonts w:ascii="Times New Roman" w:hAnsi="Times New Roman" w:cs="Times New Roman"/>
          <w:sz w:val="28"/>
          <w:szCs w:val="28"/>
        </w:rPr>
        <w:t>ов</w:t>
      </w:r>
      <w:r w:rsidRPr="007C4F42">
        <w:rPr>
          <w:rFonts w:ascii="Times New Roman" w:hAnsi="Times New Roman" w:cs="Times New Roman"/>
          <w:sz w:val="28"/>
          <w:szCs w:val="28"/>
        </w:rPr>
        <w:t>, нарастающим итогом;</w:t>
      </w:r>
    </w:p>
    <w:p w14:paraId="64985B8F" w14:textId="77777777"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вложенный резидентами промышленных парков, млрд. рублей, нарастающим итогом;</w:t>
      </w:r>
    </w:p>
    <w:p w14:paraId="43FD7B5A" w14:textId="77777777"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численность постоянных работающих на вновь созданных предприятиях (в организациях) на территории промышленных парков, чел.;</w:t>
      </w:r>
    </w:p>
    <w:p w14:paraId="6E7215F1" w14:textId="77777777"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w:t>
      </w:r>
      <w:r w:rsidR="00A66700">
        <w:rPr>
          <w:rFonts w:ascii="Times New Roman" w:hAnsi="Times New Roman" w:cs="Times New Roman"/>
          <w:sz w:val="28"/>
          <w:szCs w:val="28"/>
        </w:rPr>
        <w:t>;</w:t>
      </w:r>
    </w:p>
    <w:p w14:paraId="29C0AE1F" w14:textId="77777777" w:rsidR="00BC6816" w:rsidRDefault="00BC6816" w:rsidP="00761E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наличие единой системы сопровождения и поддержки региональных инвестпроектов (нарастающим итогом);</w:t>
      </w:r>
    </w:p>
    <w:p w14:paraId="5FE4A092" w14:textId="77777777"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руководителей, обученных по программе управленческих навыков для повышения производительности труда, нарастающим итогом;</w:t>
      </w:r>
    </w:p>
    <w:p w14:paraId="60F0DB8D" w14:textId="77777777"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доля предприятий, достигших ежегодный 5 % прирост производительности труда на предприятиях</w:t>
      </w:r>
      <w:r>
        <w:rPr>
          <w:rFonts w:ascii="Times New Roman" w:hAnsi="Times New Roman" w:cs="Times New Roman"/>
          <w:sz w:val="28"/>
          <w:szCs w:val="28"/>
        </w:rPr>
        <w:t xml:space="preserve"> – </w:t>
      </w:r>
      <w:r w:rsidRPr="008B0E2C">
        <w:rPr>
          <w:rFonts w:ascii="Times New Roman" w:hAnsi="Times New Roman" w:cs="Times New Roman"/>
          <w:sz w:val="28"/>
          <w:szCs w:val="28"/>
        </w:rPr>
        <w:t>участниках, внедряющих мероприятия национального проекта под федеральным и региональным управлением</w:t>
      </w:r>
      <w:r>
        <w:rPr>
          <w:rFonts w:ascii="Times New Roman" w:hAnsi="Times New Roman" w:cs="Times New Roman"/>
          <w:sz w:val="28"/>
          <w:szCs w:val="28"/>
        </w:rPr>
        <w:t>,</w:t>
      </w:r>
      <w:r w:rsidRPr="008B0E2C">
        <w:rPr>
          <w:rFonts w:ascii="Times New Roman" w:hAnsi="Times New Roman" w:cs="Times New Roman"/>
          <w:sz w:val="28"/>
          <w:szCs w:val="28"/>
        </w:rPr>
        <w:t xml:space="preserve"> в течени</w:t>
      </w:r>
      <w:r>
        <w:rPr>
          <w:rFonts w:ascii="Times New Roman" w:hAnsi="Times New Roman" w:cs="Times New Roman"/>
          <w:sz w:val="28"/>
          <w:szCs w:val="28"/>
        </w:rPr>
        <w:t>е</w:t>
      </w:r>
      <w:r w:rsidRPr="008B0E2C">
        <w:rPr>
          <w:rFonts w:ascii="Times New Roman" w:hAnsi="Times New Roman" w:cs="Times New Roman"/>
          <w:sz w:val="28"/>
          <w:szCs w:val="28"/>
        </w:rPr>
        <w:t xml:space="preserve"> трех лет участия в проекте;</w:t>
      </w:r>
    </w:p>
    <w:p w14:paraId="13239A40" w14:textId="77777777"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вовлеченных в национальный проект через получение адресной поддержки, нарастающим итогом;</w:t>
      </w:r>
    </w:p>
    <w:p w14:paraId="57E13D8C" w14:textId="77777777"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p w14:paraId="77031BD1" w14:textId="77777777"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самостоятельно, нарастающим итогом;</w:t>
      </w:r>
    </w:p>
    <w:p w14:paraId="4D4F19B6" w14:textId="77777777"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федеральным управлением (с ФЦК), нарастающим итогом;</w:t>
      </w:r>
    </w:p>
    <w:p w14:paraId="6E9A2D76" w14:textId="77777777"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14:paraId="2BCEF99C" w14:textId="77777777"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удовлетворенность предприятий работой региональных центров компетенций (доля предприятий, удовлетворенных работой названных центров);</w:t>
      </w:r>
    </w:p>
    <w:p w14:paraId="3E4AA552" w14:textId="77777777"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p w14:paraId="50B517D9" w14:textId="77777777"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14:paraId="4E60D099" w14:textId="77777777"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14:paraId="732F6594" w14:textId="77777777"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представителей региональных команд, прошедших обучение инструментам повышения производительности труда, нарастающим итогом;</w:t>
      </w:r>
    </w:p>
    <w:p w14:paraId="7C58E376" w14:textId="50F3DCBD" w:rsidR="00761EFD"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региональным управлением (с РЦК), нарастающим итогом</w:t>
      </w:r>
      <w:r w:rsidR="00584DB7">
        <w:rPr>
          <w:rFonts w:ascii="Times New Roman" w:hAnsi="Times New Roman" w:cs="Times New Roman"/>
          <w:sz w:val="28"/>
          <w:szCs w:val="28"/>
        </w:rPr>
        <w:t>;</w:t>
      </w:r>
    </w:p>
    <w:p w14:paraId="366826F6" w14:textId="36519D00" w:rsidR="00584DB7" w:rsidRPr="008B0E2C" w:rsidRDefault="00584DB7" w:rsidP="00761E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подготовленных инструкторов по бережливому производству на предприятиях – участниках национального проекта под региональным управлением (с РЦК)</w:t>
      </w:r>
      <w:r w:rsidR="00570EEF">
        <w:rPr>
          <w:rFonts w:ascii="Times New Roman" w:hAnsi="Times New Roman" w:cs="Times New Roman"/>
          <w:sz w:val="28"/>
          <w:szCs w:val="28"/>
        </w:rPr>
        <w:t>, нарастающим итогом.</w:t>
      </w:r>
    </w:p>
    <w:p w14:paraId="791B1A14" w14:textId="77777777"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lastRenderedPageBreak/>
        <w:t xml:space="preserve">Основные конечные результаты реализации подпрограммы по итогам </w:t>
      </w:r>
      <w:r w:rsidRPr="007C4F42">
        <w:rPr>
          <w:rFonts w:ascii="Times New Roman" w:hAnsi="Times New Roman" w:cs="Times New Roman"/>
          <w:sz w:val="28"/>
          <w:szCs w:val="28"/>
          <w:lang w:val="en-US"/>
        </w:rPr>
        <w:t>I</w:t>
      </w:r>
      <w:r w:rsidRPr="007C4F42">
        <w:rPr>
          <w:rFonts w:ascii="Times New Roman" w:hAnsi="Times New Roman" w:cs="Times New Roman"/>
          <w:sz w:val="28"/>
          <w:szCs w:val="28"/>
        </w:rPr>
        <w:t xml:space="preserve"> этапа:</w:t>
      </w:r>
    </w:p>
    <w:p w14:paraId="1FC466FB" w14:textId="77777777"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увеличен с 73,7 млрд. рублей в 2014 году до 119,9 млрд. рублей в 2018 году;</w:t>
      </w:r>
    </w:p>
    <w:p w14:paraId="4CAF6C72" w14:textId="77777777"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на душу населения увеличен с 65,9 тыс. рублей до 107,9 тыс. рублей в 2018 году.</w:t>
      </w:r>
    </w:p>
    <w:p w14:paraId="00E03346" w14:textId="77777777"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результате реализации подпрограммы ожидается:</w:t>
      </w:r>
    </w:p>
    <w:p w14:paraId="341BC073" w14:textId="77777777"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количественном выражении:</w:t>
      </w:r>
    </w:p>
    <w:p w14:paraId="27B2C237" w14:textId="359A2A76"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объем инвестиций в основной капитал в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году составит </w:t>
      </w:r>
      <w:r w:rsidR="00570EEF">
        <w:rPr>
          <w:rFonts w:ascii="Times New Roman" w:hAnsi="Times New Roman" w:cs="Times New Roman"/>
          <w:sz w:val="28"/>
          <w:szCs w:val="28"/>
        </w:rPr>
        <w:t>222,7</w:t>
      </w:r>
      <w:r w:rsidRPr="008B0E2C">
        <w:rPr>
          <w:rFonts w:ascii="Times New Roman" w:hAnsi="Times New Roman" w:cs="Times New Roman"/>
          <w:sz w:val="28"/>
          <w:szCs w:val="28"/>
        </w:rPr>
        <w:t xml:space="preserve"> млрд. рублей;</w:t>
      </w:r>
    </w:p>
    <w:p w14:paraId="0FD16D12" w14:textId="7DEEBDD4" w:rsidR="00761EFD"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объем инвестиций в основной капитал на душу населения в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году составит </w:t>
      </w:r>
      <w:r w:rsidR="00570EEF">
        <w:rPr>
          <w:rFonts w:ascii="Times New Roman" w:hAnsi="Times New Roman" w:cs="Times New Roman"/>
          <w:sz w:val="28"/>
          <w:szCs w:val="28"/>
        </w:rPr>
        <w:t>206,6</w:t>
      </w:r>
      <w:r w:rsidRPr="008B0E2C">
        <w:rPr>
          <w:rFonts w:ascii="Times New Roman" w:hAnsi="Times New Roman" w:cs="Times New Roman"/>
          <w:sz w:val="28"/>
          <w:szCs w:val="28"/>
        </w:rPr>
        <w:t xml:space="preserve"> тыс. рублей;</w:t>
      </w:r>
    </w:p>
    <w:p w14:paraId="70520665" w14:textId="07CD4D70" w:rsidR="006D679E" w:rsidRPr="008B0E2C" w:rsidRDefault="006D679E" w:rsidP="006D67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площадь промышленных парков, занимаемая резидентами, в 202</w:t>
      </w:r>
      <w:r w:rsidR="00570EEF">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году составит не менее </w:t>
      </w:r>
      <w:r w:rsidR="00570EEF">
        <w:rPr>
          <w:rFonts w:ascii="Times New Roman" w:hAnsi="Times New Roman" w:cs="Times New Roman"/>
          <w:sz w:val="28"/>
          <w:szCs w:val="28"/>
          <w:lang w:eastAsia="ru-RU"/>
        </w:rPr>
        <w:t>5</w:t>
      </w:r>
      <w:r>
        <w:rPr>
          <w:rFonts w:ascii="Times New Roman" w:hAnsi="Times New Roman" w:cs="Times New Roman"/>
          <w:sz w:val="28"/>
          <w:szCs w:val="28"/>
          <w:lang w:eastAsia="ru-RU"/>
        </w:rPr>
        <w:t>0 % от общей площади промышленных парков;</w:t>
      </w:r>
    </w:p>
    <w:p w14:paraId="15CC3164" w14:textId="654B1C02"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вложенный за 201</w:t>
      </w:r>
      <w:r w:rsidR="002C78B0" w:rsidRPr="007C4F42">
        <w:rPr>
          <w:rFonts w:ascii="Times New Roman" w:hAnsi="Times New Roman" w:cs="Times New Roman"/>
          <w:sz w:val="28"/>
          <w:szCs w:val="28"/>
        </w:rPr>
        <w:t>9</w:t>
      </w:r>
      <w:r w:rsidR="00252850" w:rsidRPr="007C4F42">
        <w:rPr>
          <w:rFonts w:ascii="Times New Roman" w:hAnsi="Times New Roman" w:cs="Times New Roman"/>
          <w:sz w:val="28"/>
          <w:szCs w:val="28"/>
        </w:rPr>
        <w:t xml:space="preserve"> - 202</w:t>
      </w:r>
      <w:r w:rsidR="00570EEF">
        <w:rPr>
          <w:rFonts w:ascii="Times New Roman" w:hAnsi="Times New Roman" w:cs="Times New Roman"/>
          <w:sz w:val="28"/>
          <w:szCs w:val="28"/>
        </w:rPr>
        <w:t>5</w:t>
      </w:r>
      <w:r w:rsidRPr="007C4F42">
        <w:rPr>
          <w:rFonts w:ascii="Times New Roman" w:hAnsi="Times New Roman" w:cs="Times New Roman"/>
          <w:sz w:val="28"/>
          <w:szCs w:val="28"/>
        </w:rPr>
        <w:t xml:space="preserve"> годы резидентами промышленных парков, </w:t>
      </w:r>
      <w:r w:rsidR="002C78B0" w:rsidRPr="007C4F42">
        <w:rPr>
          <w:rFonts w:ascii="Times New Roman" w:hAnsi="Times New Roman" w:cs="Times New Roman"/>
          <w:sz w:val="28"/>
          <w:szCs w:val="28"/>
        </w:rPr>
        <w:t xml:space="preserve">составит </w:t>
      </w:r>
      <w:r w:rsidRPr="007C4F42">
        <w:rPr>
          <w:rFonts w:ascii="Times New Roman" w:hAnsi="Times New Roman" w:cs="Times New Roman"/>
          <w:sz w:val="28"/>
          <w:szCs w:val="28"/>
        </w:rPr>
        <w:t xml:space="preserve">не менее </w:t>
      </w:r>
      <w:r w:rsidR="00570EEF">
        <w:rPr>
          <w:rFonts w:ascii="Times New Roman" w:hAnsi="Times New Roman" w:cs="Times New Roman"/>
          <w:sz w:val="28"/>
          <w:szCs w:val="28"/>
        </w:rPr>
        <w:t>5,7</w:t>
      </w:r>
      <w:r w:rsidRPr="007C4F42">
        <w:rPr>
          <w:rFonts w:ascii="Times New Roman" w:hAnsi="Times New Roman" w:cs="Times New Roman"/>
          <w:sz w:val="28"/>
          <w:szCs w:val="28"/>
        </w:rPr>
        <w:t xml:space="preserve"> млрд. рублей;</w:t>
      </w:r>
    </w:p>
    <w:p w14:paraId="558F795B" w14:textId="3DB530BA"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численность постоянн</w:t>
      </w:r>
      <w:r w:rsidR="00B32229">
        <w:rPr>
          <w:rFonts w:ascii="Times New Roman" w:hAnsi="Times New Roman" w:cs="Times New Roman"/>
          <w:sz w:val="28"/>
          <w:szCs w:val="28"/>
        </w:rPr>
        <w:t>о</w:t>
      </w:r>
      <w:r w:rsidRPr="007C4F42">
        <w:rPr>
          <w:rFonts w:ascii="Times New Roman" w:hAnsi="Times New Roman" w:cs="Times New Roman"/>
          <w:sz w:val="28"/>
          <w:szCs w:val="28"/>
        </w:rPr>
        <w:t xml:space="preserve"> работающих на вновь созданных предприятиях (в организациях) на территории промышленных парков </w:t>
      </w:r>
      <w:r w:rsidR="002C78B0" w:rsidRPr="007C4F42">
        <w:rPr>
          <w:rFonts w:ascii="Times New Roman" w:hAnsi="Times New Roman" w:cs="Times New Roman"/>
          <w:sz w:val="28"/>
          <w:szCs w:val="28"/>
        </w:rPr>
        <w:t>в</w:t>
      </w:r>
      <w:r w:rsidR="00252850" w:rsidRPr="007C4F42">
        <w:rPr>
          <w:rFonts w:ascii="Times New Roman" w:hAnsi="Times New Roman" w:cs="Times New Roman"/>
          <w:sz w:val="28"/>
          <w:szCs w:val="28"/>
        </w:rPr>
        <w:t xml:space="preserve"> 202</w:t>
      </w:r>
      <w:r w:rsidR="00570EEF">
        <w:rPr>
          <w:rFonts w:ascii="Times New Roman" w:hAnsi="Times New Roman" w:cs="Times New Roman"/>
          <w:sz w:val="28"/>
          <w:szCs w:val="28"/>
        </w:rPr>
        <w:t>5</w:t>
      </w:r>
      <w:r w:rsidRPr="007C4F42">
        <w:rPr>
          <w:rFonts w:ascii="Times New Roman" w:hAnsi="Times New Roman" w:cs="Times New Roman"/>
          <w:sz w:val="28"/>
          <w:szCs w:val="28"/>
        </w:rPr>
        <w:t xml:space="preserve"> год</w:t>
      </w:r>
      <w:r w:rsidR="002C78B0" w:rsidRPr="007C4F42">
        <w:rPr>
          <w:rFonts w:ascii="Times New Roman" w:hAnsi="Times New Roman" w:cs="Times New Roman"/>
          <w:sz w:val="28"/>
          <w:szCs w:val="28"/>
        </w:rPr>
        <w:t>у</w:t>
      </w:r>
      <w:r w:rsidRPr="007C4F42">
        <w:rPr>
          <w:rFonts w:ascii="Times New Roman" w:hAnsi="Times New Roman" w:cs="Times New Roman"/>
          <w:sz w:val="28"/>
          <w:szCs w:val="28"/>
        </w:rPr>
        <w:t xml:space="preserve"> </w:t>
      </w:r>
      <w:r w:rsidR="002C78B0" w:rsidRPr="007C4F42">
        <w:rPr>
          <w:rFonts w:ascii="Times New Roman" w:hAnsi="Times New Roman" w:cs="Times New Roman"/>
          <w:sz w:val="28"/>
          <w:szCs w:val="28"/>
        </w:rPr>
        <w:t xml:space="preserve">составит </w:t>
      </w:r>
      <w:r w:rsidR="00773636" w:rsidRPr="007C4F42">
        <w:rPr>
          <w:rFonts w:ascii="Times New Roman" w:hAnsi="Times New Roman" w:cs="Times New Roman"/>
          <w:sz w:val="28"/>
          <w:szCs w:val="28"/>
        </w:rPr>
        <w:t>1</w:t>
      </w:r>
      <w:r w:rsidR="00570EEF">
        <w:rPr>
          <w:rFonts w:ascii="Times New Roman" w:hAnsi="Times New Roman" w:cs="Times New Roman"/>
          <w:sz w:val="28"/>
          <w:szCs w:val="28"/>
        </w:rPr>
        <w:t>1</w:t>
      </w:r>
      <w:r w:rsidR="00773636" w:rsidRPr="007C4F42">
        <w:rPr>
          <w:rFonts w:ascii="Times New Roman" w:hAnsi="Times New Roman" w:cs="Times New Roman"/>
          <w:sz w:val="28"/>
          <w:szCs w:val="28"/>
        </w:rPr>
        <w:t>00</w:t>
      </w:r>
      <w:r w:rsidRPr="007C4F42">
        <w:rPr>
          <w:rFonts w:ascii="Times New Roman" w:hAnsi="Times New Roman" w:cs="Times New Roman"/>
          <w:sz w:val="28"/>
          <w:szCs w:val="28"/>
        </w:rPr>
        <w:t xml:space="preserve"> человек;</w:t>
      </w:r>
    </w:p>
    <w:p w14:paraId="7C2F8274" w14:textId="0E8CEF98"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сумма налога на доходы физических лиц, перечисленная в </w:t>
      </w:r>
      <w:r w:rsidR="002C78B0" w:rsidRPr="007C4F42">
        <w:rPr>
          <w:rFonts w:ascii="Times New Roman" w:hAnsi="Times New Roman" w:cs="Times New Roman"/>
          <w:sz w:val="28"/>
          <w:szCs w:val="28"/>
        </w:rPr>
        <w:t xml:space="preserve">доход </w:t>
      </w:r>
      <w:r w:rsidRPr="007C4F42">
        <w:rPr>
          <w:rFonts w:ascii="Times New Roman" w:hAnsi="Times New Roman" w:cs="Times New Roman"/>
          <w:sz w:val="28"/>
          <w:szCs w:val="28"/>
        </w:rPr>
        <w:t>консолидированн</w:t>
      </w:r>
      <w:r w:rsidR="002C78B0" w:rsidRPr="007C4F42">
        <w:rPr>
          <w:rFonts w:ascii="Times New Roman" w:hAnsi="Times New Roman" w:cs="Times New Roman"/>
          <w:sz w:val="28"/>
          <w:szCs w:val="28"/>
        </w:rPr>
        <w:t>ого</w:t>
      </w:r>
      <w:r w:rsidRPr="007C4F42">
        <w:rPr>
          <w:rFonts w:ascii="Times New Roman" w:hAnsi="Times New Roman" w:cs="Times New Roman"/>
          <w:sz w:val="28"/>
          <w:szCs w:val="28"/>
        </w:rPr>
        <w:t xml:space="preserve"> бюджет</w:t>
      </w:r>
      <w:r w:rsidR="002C78B0" w:rsidRPr="007C4F42">
        <w:rPr>
          <w:rFonts w:ascii="Times New Roman" w:hAnsi="Times New Roman" w:cs="Times New Roman"/>
          <w:sz w:val="28"/>
          <w:szCs w:val="28"/>
        </w:rPr>
        <w:t>а</w:t>
      </w:r>
      <w:r w:rsidRPr="007C4F42">
        <w:rPr>
          <w:rFonts w:ascii="Times New Roman" w:hAnsi="Times New Roman" w:cs="Times New Roman"/>
          <w:sz w:val="28"/>
          <w:szCs w:val="28"/>
        </w:rPr>
        <w:t xml:space="preserve"> области организациями, вновь созданными на территории промышленных парков </w:t>
      </w:r>
      <w:r w:rsidR="002C78B0" w:rsidRPr="007C4F42">
        <w:rPr>
          <w:rFonts w:ascii="Times New Roman" w:hAnsi="Times New Roman" w:cs="Times New Roman"/>
          <w:sz w:val="28"/>
          <w:szCs w:val="28"/>
        </w:rPr>
        <w:t xml:space="preserve">в </w:t>
      </w:r>
      <w:r w:rsidR="00252850" w:rsidRPr="007C4F42">
        <w:rPr>
          <w:rFonts w:ascii="Times New Roman" w:hAnsi="Times New Roman" w:cs="Times New Roman"/>
          <w:sz w:val="28"/>
          <w:szCs w:val="28"/>
        </w:rPr>
        <w:t>202</w:t>
      </w:r>
      <w:r w:rsidR="00570EEF">
        <w:rPr>
          <w:rFonts w:ascii="Times New Roman" w:hAnsi="Times New Roman" w:cs="Times New Roman"/>
          <w:sz w:val="28"/>
          <w:szCs w:val="28"/>
        </w:rPr>
        <w:t>5</w:t>
      </w:r>
      <w:r w:rsidRPr="007C4F42">
        <w:rPr>
          <w:rFonts w:ascii="Times New Roman" w:hAnsi="Times New Roman" w:cs="Times New Roman"/>
          <w:sz w:val="28"/>
          <w:szCs w:val="28"/>
        </w:rPr>
        <w:t xml:space="preserve"> год</w:t>
      </w:r>
      <w:r w:rsidR="002C78B0" w:rsidRPr="007C4F42">
        <w:rPr>
          <w:rFonts w:ascii="Times New Roman" w:hAnsi="Times New Roman" w:cs="Times New Roman"/>
          <w:sz w:val="28"/>
          <w:szCs w:val="28"/>
        </w:rPr>
        <w:t>у</w:t>
      </w:r>
      <w:r w:rsidRPr="007C4F42">
        <w:rPr>
          <w:rFonts w:ascii="Times New Roman" w:hAnsi="Times New Roman" w:cs="Times New Roman"/>
          <w:sz w:val="28"/>
          <w:szCs w:val="28"/>
        </w:rPr>
        <w:t xml:space="preserve">, составит </w:t>
      </w:r>
      <w:r w:rsidR="006D679E">
        <w:rPr>
          <w:rFonts w:ascii="Times New Roman" w:hAnsi="Times New Roman" w:cs="Times New Roman"/>
          <w:sz w:val="28"/>
          <w:szCs w:val="28"/>
        </w:rPr>
        <w:t>4</w:t>
      </w:r>
      <w:r w:rsidR="00570EEF">
        <w:rPr>
          <w:rFonts w:ascii="Times New Roman" w:hAnsi="Times New Roman" w:cs="Times New Roman"/>
          <w:sz w:val="28"/>
          <w:szCs w:val="28"/>
        </w:rPr>
        <w:t>2</w:t>
      </w:r>
      <w:r w:rsidRPr="007C4F42">
        <w:rPr>
          <w:rFonts w:ascii="Times New Roman" w:hAnsi="Times New Roman" w:cs="Times New Roman"/>
          <w:sz w:val="28"/>
          <w:szCs w:val="28"/>
        </w:rPr>
        <w:t xml:space="preserve"> млн. рублей</w:t>
      </w:r>
      <w:r w:rsidR="008F5F81">
        <w:rPr>
          <w:rFonts w:ascii="Times New Roman" w:hAnsi="Times New Roman" w:cs="Times New Roman"/>
          <w:sz w:val="28"/>
          <w:szCs w:val="28"/>
        </w:rPr>
        <w:t>;</w:t>
      </w:r>
    </w:p>
    <w:p w14:paraId="45AC99A5" w14:textId="77777777" w:rsidR="006D679E" w:rsidRDefault="006D67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2023 году планируется создание единой системы сопровождения и поддержки региональных инвестпроектов;</w:t>
      </w:r>
    </w:p>
    <w:p w14:paraId="098F3260" w14:textId="066C69E4" w:rsidR="003F7C57" w:rsidRPr="008B0E2C" w:rsidRDefault="003F7C57" w:rsidP="003F7C57">
      <w:pPr>
        <w:spacing w:after="0" w:line="240" w:lineRule="auto"/>
        <w:ind w:firstLine="709"/>
        <w:jc w:val="both"/>
        <w:rPr>
          <w:rFonts w:ascii="Times New Roman" w:hAnsi="Times New Roman" w:cs="Times New Roman"/>
          <w:color w:val="FF0000"/>
          <w:sz w:val="28"/>
          <w:szCs w:val="28"/>
        </w:rPr>
      </w:pPr>
      <w:r w:rsidRPr="008B0E2C">
        <w:rPr>
          <w:rFonts w:ascii="Times New Roman" w:hAnsi="Times New Roman" w:cs="Times New Roman"/>
          <w:sz w:val="28"/>
          <w:szCs w:val="28"/>
        </w:rPr>
        <w:t>количество руководителей, обученных по программе управленческих навыков для повышения производительности труда, в 2021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w:t>
      </w:r>
      <w:r w:rsidR="006D679E">
        <w:rPr>
          <w:rFonts w:ascii="Times New Roman" w:hAnsi="Times New Roman" w:cs="Times New Roman"/>
          <w:sz w:val="28"/>
          <w:szCs w:val="28"/>
        </w:rPr>
        <w:t>52</w:t>
      </w:r>
      <w:r w:rsidRPr="008B0E2C">
        <w:rPr>
          <w:rFonts w:ascii="Times New Roman" w:hAnsi="Times New Roman" w:cs="Times New Roman"/>
          <w:sz w:val="28"/>
          <w:szCs w:val="28"/>
        </w:rPr>
        <w:t xml:space="preserve"> человек;</w:t>
      </w:r>
    </w:p>
    <w:p w14:paraId="558C41C6" w14:textId="5AA8652A"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доля предприятий, достигших ежегодный 5 % прирост производительности труда на предприятиях</w:t>
      </w:r>
      <w:r>
        <w:rPr>
          <w:rFonts w:ascii="Times New Roman" w:hAnsi="Times New Roman" w:cs="Times New Roman"/>
          <w:sz w:val="28"/>
          <w:szCs w:val="28"/>
        </w:rPr>
        <w:t xml:space="preserve"> –</w:t>
      </w:r>
      <w:r w:rsidRPr="008B0E2C">
        <w:rPr>
          <w:rFonts w:ascii="Times New Roman" w:hAnsi="Times New Roman" w:cs="Times New Roman"/>
          <w:sz w:val="28"/>
          <w:szCs w:val="28"/>
        </w:rPr>
        <w:t xml:space="preserve"> участниках, внедряющих мероприятия национального проекта под федеральным и региональным управлением</w:t>
      </w:r>
      <w:r>
        <w:rPr>
          <w:rFonts w:ascii="Times New Roman" w:hAnsi="Times New Roman" w:cs="Times New Roman"/>
          <w:sz w:val="28"/>
          <w:szCs w:val="28"/>
        </w:rPr>
        <w:t>,</w:t>
      </w:r>
      <w:r w:rsidRPr="008B0E2C">
        <w:rPr>
          <w:rFonts w:ascii="Times New Roman" w:hAnsi="Times New Roman" w:cs="Times New Roman"/>
          <w:sz w:val="28"/>
          <w:szCs w:val="28"/>
        </w:rPr>
        <w:t xml:space="preserve"> в течени</w:t>
      </w:r>
      <w:r>
        <w:rPr>
          <w:rFonts w:ascii="Times New Roman" w:hAnsi="Times New Roman" w:cs="Times New Roman"/>
          <w:sz w:val="28"/>
          <w:szCs w:val="28"/>
        </w:rPr>
        <w:t>е</w:t>
      </w:r>
      <w:r w:rsidRPr="008B0E2C">
        <w:rPr>
          <w:rFonts w:ascii="Times New Roman" w:hAnsi="Times New Roman" w:cs="Times New Roman"/>
          <w:sz w:val="28"/>
          <w:szCs w:val="28"/>
        </w:rPr>
        <w:t xml:space="preserve"> трех лет участия в проекте составит в 2022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50 %;</w:t>
      </w:r>
    </w:p>
    <w:p w14:paraId="00C42BEA" w14:textId="24C9C911"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вовлеченных в национальный проект через получение адресной поддержки, в 2020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56 единиц;</w:t>
      </w:r>
    </w:p>
    <w:p w14:paraId="00D56177" w14:textId="1F5F477C"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и представителей региональных команд, прошедших обучение инструментам  повышения производительности труда, в 2020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оставит 7</w:t>
      </w:r>
      <w:r w:rsidR="00570EEF">
        <w:rPr>
          <w:rFonts w:ascii="Times New Roman" w:hAnsi="Times New Roman" w:cs="Times New Roman"/>
          <w:sz w:val="28"/>
          <w:szCs w:val="28"/>
        </w:rPr>
        <w:t>84</w:t>
      </w:r>
      <w:r w:rsidRPr="008B0E2C">
        <w:rPr>
          <w:rFonts w:ascii="Times New Roman" w:hAnsi="Times New Roman" w:cs="Times New Roman"/>
          <w:sz w:val="28"/>
          <w:szCs w:val="28"/>
        </w:rPr>
        <w:t xml:space="preserve"> человека;</w:t>
      </w:r>
    </w:p>
    <w:p w14:paraId="1508C137" w14:textId="77777777"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самостоятельно, составит 2 единицы;</w:t>
      </w:r>
    </w:p>
    <w:p w14:paraId="0BE915B0" w14:textId="103C0141"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федеральным управлением (с ФЦК), в 2020 -202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18 единиц;</w:t>
      </w:r>
    </w:p>
    <w:p w14:paraId="07F1BCB2" w14:textId="77777777"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lastRenderedPageBreak/>
        <w:t>создан региональный центр компетенций в целях распространения лучших практик производительности труда;</w:t>
      </w:r>
    </w:p>
    <w:p w14:paraId="5FE0B9E3" w14:textId="13E5225D"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удовлетворенность предприятий работой региональных центров компетенций (доля предприятий, удовлетворенных работой названных центров) достигнет в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году 80 %;</w:t>
      </w:r>
    </w:p>
    <w:p w14:paraId="4B482B05" w14:textId="11F6CB39"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региональным управлением (с РЦК), в 2021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w:t>
      </w:r>
      <w:r w:rsidR="00570EEF">
        <w:rPr>
          <w:rFonts w:ascii="Times New Roman" w:hAnsi="Times New Roman" w:cs="Times New Roman"/>
          <w:sz w:val="28"/>
          <w:szCs w:val="28"/>
        </w:rPr>
        <w:t>406</w:t>
      </w:r>
      <w:r w:rsidRPr="008B0E2C">
        <w:rPr>
          <w:rFonts w:ascii="Times New Roman" w:hAnsi="Times New Roman" w:cs="Times New Roman"/>
          <w:sz w:val="28"/>
          <w:szCs w:val="28"/>
        </w:rPr>
        <w:t xml:space="preserve"> человек;</w:t>
      </w:r>
    </w:p>
    <w:p w14:paraId="2AA7300A" w14:textId="335B5DBA"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федеральным управлением (с ФЦК), в 2020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2</w:t>
      </w:r>
      <w:r w:rsidR="00570EEF">
        <w:rPr>
          <w:rFonts w:ascii="Times New Roman" w:hAnsi="Times New Roman" w:cs="Times New Roman"/>
          <w:sz w:val="28"/>
          <w:szCs w:val="28"/>
        </w:rPr>
        <w:t>72</w:t>
      </w:r>
      <w:r w:rsidRPr="008B0E2C">
        <w:rPr>
          <w:rFonts w:ascii="Times New Roman" w:hAnsi="Times New Roman" w:cs="Times New Roman"/>
          <w:sz w:val="28"/>
          <w:szCs w:val="28"/>
        </w:rPr>
        <w:t xml:space="preserve"> человек;</w:t>
      </w:r>
    </w:p>
    <w:p w14:paraId="6AEAC593" w14:textId="77777777"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составит 16 человек;</w:t>
      </w:r>
    </w:p>
    <w:p w14:paraId="4BAA7F5A" w14:textId="29E3146F"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представителей региональных команд, прошедших обучение инструментам повышения производительности труда, в 2021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90 человек;</w:t>
      </w:r>
    </w:p>
    <w:p w14:paraId="66E48FB6" w14:textId="483BB049" w:rsidR="003F7C57"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региональным управлением (с РЦК), в 2021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36 единиц;</w:t>
      </w:r>
    </w:p>
    <w:p w14:paraId="34E6A9CD" w14:textId="30BAA6EE" w:rsidR="00393ACB" w:rsidRPr="008B0E2C" w:rsidRDefault="00393ACB" w:rsidP="003F7C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подготовленных инструкторов по бережливому производству на предприятиях – участниках национального проекта под региональным управлением (с РЦК) в 2022 – 2025 годах составит 60 человек;</w:t>
      </w:r>
    </w:p>
    <w:p w14:paraId="696A2829" w14:textId="155FA8B2"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реализованы в 2022 – 202</w:t>
      </w:r>
      <w:r w:rsidR="00393ACB">
        <w:rPr>
          <w:rFonts w:ascii="Times New Roman" w:hAnsi="Times New Roman" w:cs="Times New Roman"/>
          <w:sz w:val="28"/>
          <w:szCs w:val="28"/>
        </w:rPr>
        <w:t>5</w:t>
      </w:r>
      <w:r w:rsidRPr="008B0E2C">
        <w:rPr>
          <w:rFonts w:ascii="Times New Roman" w:hAnsi="Times New Roman" w:cs="Times New Roman"/>
          <w:sz w:val="28"/>
          <w:szCs w:val="28"/>
        </w:rPr>
        <w:t xml:space="preserve"> годах 36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14:paraId="28938E14" w14:textId="77777777"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созданы потоки - 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w:t>
      </w:r>
      <w:r>
        <w:rPr>
          <w:rFonts w:ascii="Times New Roman" w:hAnsi="Times New Roman" w:cs="Times New Roman"/>
          <w:sz w:val="28"/>
          <w:szCs w:val="28"/>
        </w:rPr>
        <w:t>приятиях – не менее 1 усл. ед.</w:t>
      </w:r>
    </w:p>
    <w:p w14:paraId="3FBE5F4C" w14:textId="77777777"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В качественном выражении:</w:t>
      </w:r>
    </w:p>
    <w:p w14:paraId="055AABC6" w14:textId="77777777" w:rsidR="00106B17" w:rsidRDefault="00106B17" w:rsidP="008C2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осуществлена актуализация законодательства Курской области в соответствии с требованиями федерального законодательства и </w:t>
      </w:r>
      <w:r>
        <w:rPr>
          <w:rFonts w:ascii="Times New Roman" w:hAnsi="Times New Roman" w:cs="Times New Roman"/>
          <w:sz w:val="28"/>
          <w:szCs w:val="28"/>
        </w:rPr>
        <w:lastRenderedPageBreak/>
        <w:t>необходимостью создания более благоприятных условий для работы инвесторов в области;</w:t>
      </w:r>
    </w:p>
    <w:p w14:paraId="027C7126" w14:textId="77777777" w:rsidR="00A0079B" w:rsidRDefault="0021081C" w:rsidP="008C28F2">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приняты нормативные правовые акты, создающие условия для реализации инвестиционных проектов на принципах государственно-частного партнерства;</w:t>
      </w:r>
    </w:p>
    <w:p w14:paraId="7B0D6457" w14:textId="77777777"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проведены мероприятия по позиционированию Курской области как территории, благоприятной для развития бизнеса;</w:t>
      </w:r>
    </w:p>
    <w:p w14:paraId="4BCF5DE2" w14:textId="77777777"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присвоен</w:t>
      </w:r>
      <w:r w:rsidR="00AC0B14" w:rsidRPr="007C4F42">
        <w:rPr>
          <w:rFonts w:ascii="Times New Roman" w:hAnsi="Times New Roman" w:cs="Times New Roman"/>
          <w:sz w:val="28"/>
          <w:szCs w:val="28"/>
        </w:rPr>
        <w:t>ы</w:t>
      </w:r>
      <w:r w:rsidRPr="007C4F42">
        <w:rPr>
          <w:rFonts w:ascii="Times New Roman" w:hAnsi="Times New Roman" w:cs="Times New Roman"/>
          <w:sz w:val="28"/>
          <w:szCs w:val="28"/>
        </w:rPr>
        <w:t xml:space="preserve"> (подтвержден</w:t>
      </w:r>
      <w:r w:rsidR="00AC0B14" w:rsidRPr="007C4F42">
        <w:rPr>
          <w:rFonts w:ascii="Times New Roman" w:hAnsi="Times New Roman" w:cs="Times New Roman"/>
          <w:sz w:val="28"/>
          <w:szCs w:val="28"/>
        </w:rPr>
        <w:t>ы</w:t>
      </w:r>
      <w:r w:rsidRPr="007C4F42">
        <w:rPr>
          <w:rFonts w:ascii="Times New Roman" w:hAnsi="Times New Roman" w:cs="Times New Roman"/>
          <w:sz w:val="28"/>
          <w:szCs w:val="28"/>
        </w:rPr>
        <w:t>)</w:t>
      </w:r>
      <w:r w:rsidR="00202C1B" w:rsidRPr="007C4F42">
        <w:rPr>
          <w:rFonts w:ascii="Times New Roman" w:hAnsi="Times New Roman" w:cs="Times New Roman"/>
          <w:sz w:val="28"/>
          <w:szCs w:val="28"/>
        </w:rPr>
        <w:t xml:space="preserve"> рейтинги Курской области по международной и (или) национальной шкале</w:t>
      </w:r>
      <w:r w:rsidR="00935539">
        <w:rPr>
          <w:rFonts w:ascii="Times New Roman" w:hAnsi="Times New Roman" w:cs="Times New Roman"/>
          <w:sz w:val="28"/>
          <w:szCs w:val="28"/>
        </w:rPr>
        <w:t>;</w:t>
      </w:r>
      <w:r w:rsidRPr="007C4F42">
        <w:rPr>
          <w:rFonts w:ascii="Times New Roman" w:hAnsi="Times New Roman" w:cs="Times New Roman"/>
          <w:sz w:val="28"/>
          <w:szCs w:val="28"/>
        </w:rPr>
        <w:t xml:space="preserve"> </w:t>
      </w:r>
    </w:p>
    <w:p w14:paraId="6D5196D1" w14:textId="77777777" w:rsidR="00935539" w:rsidRDefault="00935539" w:rsidP="00A007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создана и внедрена единая система сопровождения и поддержки региональных инвестпроектов.</w:t>
      </w:r>
    </w:p>
    <w:p w14:paraId="6E13C975" w14:textId="77777777" w:rsidR="00B32229" w:rsidRPr="008B0E2C" w:rsidRDefault="00B32229" w:rsidP="00B32229">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Значения целевых показателей, предусмотренных к достижению в результате реализации регионального проекта «Системные меры по повышению производительности труда», определяются по данным предприятий - участников реализации мероприятий национального проекта «Производительность труда».</w:t>
      </w:r>
    </w:p>
    <w:p w14:paraId="08247F53" w14:textId="77777777" w:rsidR="00773636" w:rsidRPr="007C4F42" w:rsidRDefault="00773636" w:rsidP="00A0079B">
      <w:pPr>
        <w:spacing w:after="0" w:line="240" w:lineRule="auto"/>
        <w:ind w:firstLine="709"/>
        <w:jc w:val="both"/>
        <w:rPr>
          <w:rFonts w:ascii="Times New Roman" w:hAnsi="Times New Roman"/>
          <w:sz w:val="28"/>
          <w:szCs w:val="28"/>
        </w:rPr>
      </w:pPr>
      <w:r w:rsidRPr="007C4F42">
        <w:rPr>
          <w:rFonts w:ascii="Times New Roman" w:hAnsi="Times New Roman"/>
          <w:sz w:val="28"/>
          <w:szCs w:val="28"/>
        </w:rPr>
        <w:t>Показатели «объем инвестиций в основной капитал» и «объем инвестиций в основной капитал на душу населения» определяются исходя из данных официальной статистики территориального органа Федеральной службы государственной статистики по Курской области.</w:t>
      </w:r>
    </w:p>
    <w:p w14:paraId="7B354354" w14:textId="5691A6E4" w:rsidR="00773636" w:rsidRDefault="00773636" w:rsidP="00773636">
      <w:pPr>
        <w:widowControl w:val="0"/>
        <w:autoSpaceDE w:val="0"/>
        <w:autoSpaceDN w:val="0"/>
        <w:adjustRightInd w:val="0"/>
        <w:spacing w:after="0" w:line="240" w:lineRule="auto"/>
        <w:ind w:firstLine="540"/>
        <w:jc w:val="both"/>
        <w:rPr>
          <w:rFonts w:ascii="Times New Roman" w:hAnsi="Times New Roman"/>
          <w:sz w:val="28"/>
          <w:szCs w:val="28"/>
        </w:rPr>
      </w:pPr>
      <w:r w:rsidRPr="007C4F42">
        <w:rPr>
          <w:rFonts w:ascii="Times New Roman" w:hAnsi="Times New Roman"/>
          <w:sz w:val="28"/>
          <w:szCs w:val="28"/>
        </w:rPr>
        <w:t xml:space="preserve">Показатели: «площадь промышленных парков, занимаемая резидентами, в процентах от общей площади парков (нарастающим итогом)», «объем инвестиций в основной капитал, вложенный резидентами промышленных парков», «численность постоянно работающих на вновь созданных предприятиях (в организациях) на территориях промышленных парков», «сумма налога на доходы физических лиц, перечисленная в консолидированный бюджет области организациями, вновь созданными на территориях промышленных парков» определяются в соответствии с информацией, представленной операторами промышленных парков и </w:t>
      </w:r>
      <w:r w:rsidR="00BA269E">
        <w:rPr>
          <w:rFonts w:ascii="Times New Roman" w:hAnsi="Times New Roman"/>
          <w:sz w:val="28"/>
          <w:szCs w:val="28"/>
        </w:rPr>
        <w:t>АО «Корпорация развития Курской области».</w:t>
      </w:r>
    </w:p>
    <w:p w14:paraId="4564E5DA" w14:textId="77777777" w:rsidR="00106B17" w:rsidRDefault="00106B17" w:rsidP="00106B17">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Значения целевых показателей, предусмотренных к достижению в результате реализации регионального проекта «Системные меры по повышению производительности труда», определяются по данным предприятий-участников реализации мероприятий национального проекта «Производительность труда».</w:t>
      </w:r>
    </w:p>
    <w:p w14:paraId="4AD2AB3F" w14:textId="77777777" w:rsidR="00106B17" w:rsidRDefault="00106B17" w:rsidP="00106B17">
      <w:pPr>
        <w:autoSpaceDE w:val="0"/>
        <w:autoSpaceDN w:val="0"/>
        <w:adjustRightInd w:val="0"/>
        <w:spacing w:before="280"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Значения целевых показателей, предусмотренных к достижению в результате реализации регионального проекта «Адресная поддержка повышения производительности труда на предприятиях», рассчитываются в соответствии с методиками расчета показателей федерального проекта «Адресная поддержка повышения производительности труда на предприятиях», входящего в структуру национального проекта «Производительность труда», утвержденными приказом Министерства экономического развития Российской Федерации от 28.12.2020 № 872.</w:t>
      </w:r>
    </w:p>
    <w:p w14:paraId="0F005B91" w14:textId="77777777" w:rsidR="00935539" w:rsidRPr="003E2CE8" w:rsidRDefault="00935539" w:rsidP="00935539">
      <w:pPr>
        <w:spacing w:after="0" w:line="240" w:lineRule="auto"/>
        <w:ind w:firstLine="709"/>
        <w:jc w:val="both"/>
        <w:rPr>
          <w:rFonts w:ascii="Times New Roman" w:hAnsi="Times New Roman" w:cs="Times New Roman"/>
          <w:sz w:val="28"/>
          <w:szCs w:val="28"/>
        </w:rPr>
      </w:pPr>
      <w:r w:rsidRPr="003E2CE8">
        <w:rPr>
          <w:rFonts w:ascii="Times New Roman" w:hAnsi="Times New Roman" w:cs="Times New Roman"/>
          <w:sz w:val="28"/>
          <w:szCs w:val="28"/>
        </w:rPr>
        <w:lastRenderedPageBreak/>
        <w:t>Достижение целевого показателя «Наличие единой системы сопровождения и поддержки региональных инвестпроектов (нарастающим итогом)» будет подтверждено актом выполненных работ по государственному контракту, который планируется заключить в 2022 году соответствии с положениями Федерального закона от 5</w:t>
      </w:r>
      <w:r>
        <w:rPr>
          <w:rFonts w:ascii="Times New Roman" w:hAnsi="Times New Roman" w:cs="Times New Roman"/>
          <w:sz w:val="28"/>
          <w:szCs w:val="28"/>
        </w:rPr>
        <w:t xml:space="preserve"> апреля </w:t>
      </w:r>
      <w:r w:rsidRPr="003E2CE8">
        <w:rPr>
          <w:rFonts w:ascii="Times New Roman" w:hAnsi="Times New Roman" w:cs="Times New Roman"/>
          <w:sz w:val="28"/>
          <w:szCs w:val="28"/>
        </w:rPr>
        <w:t xml:space="preserve">2013 </w:t>
      </w:r>
      <w:r>
        <w:rPr>
          <w:rFonts w:ascii="Times New Roman" w:hAnsi="Times New Roman" w:cs="Times New Roman"/>
          <w:sz w:val="28"/>
          <w:szCs w:val="28"/>
        </w:rPr>
        <w:t xml:space="preserve">года </w:t>
      </w:r>
      <w:r w:rsidRPr="003E2CE8">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p>
    <w:p w14:paraId="1BC58EB0" w14:textId="77777777" w:rsidR="00773636" w:rsidRPr="007C4F42" w:rsidRDefault="000E3733" w:rsidP="0077363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199" w:history="1">
        <w:r w:rsidR="0021081C" w:rsidRPr="007C4F42">
          <w:rPr>
            <w:rFonts w:ascii="Times New Roman" w:hAnsi="Times New Roman" w:cs="Times New Roman"/>
            <w:sz w:val="28"/>
            <w:szCs w:val="28"/>
          </w:rPr>
          <w:t>Сведения</w:t>
        </w:r>
      </w:hyperlink>
      <w:r w:rsidR="0021081C" w:rsidRPr="007C4F42">
        <w:rPr>
          <w:rFonts w:ascii="Times New Roman" w:hAnsi="Times New Roman" w:cs="Times New Roman"/>
          <w:sz w:val="28"/>
          <w:szCs w:val="28"/>
        </w:rPr>
        <w:t xml:space="preserve"> о показателях подпрограммы и их значения по годам указаны в приложении </w:t>
      </w:r>
      <w:r w:rsidR="004D7570" w:rsidRPr="007C4F42">
        <w:rPr>
          <w:rFonts w:ascii="Times New Roman" w:hAnsi="Times New Roman" w:cs="Times New Roman"/>
          <w:sz w:val="28"/>
          <w:szCs w:val="28"/>
        </w:rPr>
        <w:t>№</w:t>
      </w:r>
      <w:r w:rsidR="0021081C" w:rsidRPr="007C4F42">
        <w:rPr>
          <w:rFonts w:ascii="Times New Roman" w:hAnsi="Times New Roman" w:cs="Times New Roman"/>
          <w:sz w:val="28"/>
          <w:szCs w:val="28"/>
        </w:rPr>
        <w:t xml:space="preserve"> 1 к государственной программе.</w:t>
      </w:r>
      <w:bookmarkStart w:id="9" w:name="Par1590"/>
      <w:bookmarkEnd w:id="9"/>
    </w:p>
    <w:p w14:paraId="04FFB495" w14:textId="1F9D02C9" w:rsidR="00773636" w:rsidRPr="007C4F42" w:rsidRDefault="00773636" w:rsidP="007736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Реализация подпрограммы будет осуществляться в 2014-202</w:t>
      </w:r>
      <w:r w:rsidR="00BA269E">
        <w:rPr>
          <w:rFonts w:ascii="Times New Roman" w:hAnsi="Times New Roman" w:cs="Times New Roman"/>
          <w:sz w:val="28"/>
          <w:szCs w:val="28"/>
        </w:rPr>
        <w:t>5</w:t>
      </w:r>
      <w:r w:rsidRPr="007C4F42">
        <w:rPr>
          <w:rFonts w:ascii="Times New Roman" w:hAnsi="Times New Roman" w:cs="Times New Roman"/>
          <w:sz w:val="28"/>
          <w:szCs w:val="28"/>
        </w:rPr>
        <w:t xml:space="preserve"> годах в два этапа: </w:t>
      </w:r>
      <w:r w:rsidRPr="007C4F42">
        <w:rPr>
          <w:rFonts w:ascii="Times New Roman" w:hAnsi="Times New Roman" w:cs="Times New Roman"/>
          <w:sz w:val="28"/>
          <w:szCs w:val="28"/>
          <w:lang w:val="en-US"/>
        </w:rPr>
        <w:t>I</w:t>
      </w:r>
      <w:r w:rsidRPr="007C4F42">
        <w:rPr>
          <w:rFonts w:ascii="Times New Roman" w:hAnsi="Times New Roman" w:cs="Times New Roman"/>
          <w:sz w:val="28"/>
          <w:szCs w:val="28"/>
        </w:rPr>
        <w:t xml:space="preserve"> этап – 2014-2018 годы, </w:t>
      </w:r>
      <w:r w:rsidRPr="007C4F42">
        <w:rPr>
          <w:rFonts w:ascii="Times New Roman" w:hAnsi="Times New Roman" w:cs="Times New Roman"/>
          <w:sz w:val="28"/>
          <w:szCs w:val="28"/>
          <w:lang w:val="en-US"/>
        </w:rPr>
        <w:t>II</w:t>
      </w:r>
      <w:r w:rsidRPr="007C4F42">
        <w:rPr>
          <w:rFonts w:ascii="Times New Roman" w:hAnsi="Times New Roman" w:cs="Times New Roman"/>
          <w:sz w:val="28"/>
          <w:szCs w:val="28"/>
        </w:rPr>
        <w:t xml:space="preserve"> этап – 2019-202</w:t>
      </w:r>
      <w:r w:rsidR="00BA269E">
        <w:rPr>
          <w:rFonts w:ascii="Times New Roman" w:hAnsi="Times New Roman" w:cs="Times New Roman"/>
          <w:sz w:val="28"/>
          <w:szCs w:val="28"/>
        </w:rPr>
        <w:t>5</w:t>
      </w:r>
      <w:r w:rsidRPr="007C4F42">
        <w:rPr>
          <w:rFonts w:ascii="Times New Roman" w:hAnsi="Times New Roman" w:cs="Times New Roman"/>
          <w:sz w:val="28"/>
          <w:szCs w:val="28"/>
        </w:rPr>
        <w:t xml:space="preserve"> годы. </w:t>
      </w:r>
    </w:p>
    <w:p w14:paraId="60BF65E9" w14:textId="77777777" w:rsidR="003E7FFC" w:rsidRPr="007C4F42" w:rsidRDefault="003E7FFC" w:rsidP="00DF7438">
      <w:pPr>
        <w:widowControl w:val="0"/>
        <w:autoSpaceDE w:val="0"/>
        <w:autoSpaceDN w:val="0"/>
        <w:adjustRightInd w:val="0"/>
        <w:spacing w:after="0" w:line="240" w:lineRule="auto"/>
        <w:jc w:val="center"/>
        <w:outlineLvl w:val="3"/>
        <w:rPr>
          <w:rFonts w:ascii="Times New Roman" w:hAnsi="Times New Roman" w:cs="Times New Roman"/>
          <w:b/>
          <w:sz w:val="24"/>
          <w:szCs w:val="24"/>
        </w:rPr>
      </w:pPr>
    </w:p>
    <w:p w14:paraId="29B574D0" w14:textId="77777777" w:rsidR="003E7FFC" w:rsidRPr="007C4F42" w:rsidRDefault="003E7FFC" w:rsidP="00DF7438">
      <w:pPr>
        <w:widowControl w:val="0"/>
        <w:autoSpaceDE w:val="0"/>
        <w:autoSpaceDN w:val="0"/>
        <w:adjustRightInd w:val="0"/>
        <w:spacing w:after="0" w:line="240" w:lineRule="auto"/>
        <w:jc w:val="center"/>
        <w:outlineLvl w:val="3"/>
        <w:rPr>
          <w:rFonts w:ascii="Times New Roman" w:hAnsi="Times New Roman" w:cs="Times New Roman"/>
          <w:b/>
          <w:sz w:val="10"/>
          <w:szCs w:val="10"/>
        </w:rPr>
      </w:pPr>
    </w:p>
    <w:p w14:paraId="314F08E2" w14:textId="77777777" w:rsidR="0021081C" w:rsidRPr="007C4F42" w:rsidRDefault="0021081C" w:rsidP="00D21913">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C4F42">
        <w:rPr>
          <w:rFonts w:ascii="Times New Roman" w:hAnsi="Times New Roman" w:cs="Times New Roman"/>
          <w:b/>
          <w:sz w:val="28"/>
          <w:szCs w:val="28"/>
        </w:rPr>
        <w:t>Раздел 3. Х</w:t>
      </w:r>
      <w:r w:rsidR="00DF7438" w:rsidRPr="007C4F42">
        <w:rPr>
          <w:rFonts w:ascii="Times New Roman" w:hAnsi="Times New Roman" w:cs="Times New Roman"/>
          <w:b/>
          <w:sz w:val="28"/>
          <w:szCs w:val="28"/>
        </w:rPr>
        <w:t xml:space="preserve">арактеристика </w:t>
      </w:r>
      <w:r w:rsidR="00D21913">
        <w:rPr>
          <w:rFonts w:ascii="Times New Roman" w:hAnsi="Times New Roman" w:cs="Times New Roman"/>
          <w:b/>
          <w:sz w:val="28"/>
          <w:szCs w:val="28"/>
        </w:rPr>
        <w:t>структурных элементов</w:t>
      </w:r>
      <w:r w:rsidR="00DF7438" w:rsidRPr="007C4F42">
        <w:rPr>
          <w:rFonts w:ascii="Times New Roman" w:hAnsi="Times New Roman" w:cs="Times New Roman"/>
          <w:b/>
          <w:sz w:val="28"/>
          <w:szCs w:val="28"/>
        </w:rPr>
        <w:t xml:space="preserve"> подпрограммы</w:t>
      </w:r>
    </w:p>
    <w:p w14:paraId="40149E38" w14:textId="77777777" w:rsidR="003E7FFC" w:rsidRPr="007C4F42" w:rsidRDefault="003E7FFC">
      <w:pPr>
        <w:widowControl w:val="0"/>
        <w:autoSpaceDE w:val="0"/>
        <w:autoSpaceDN w:val="0"/>
        <w:adjustRightInd w:val="0"/>
        <w:spacing w:after="0" w:line="240" w:lineRule="auto"/>
        <w:jc w:val="both"/>
        <w:rPr>
          <w:rFonts w:ascii="Times New Roman" w:hAnsi="Times New Roman" w:cs="Times New Roman"/>
          <w:sz w:val="28"/>
          <w:szCs w:val="28"/>
        </w:rPr>
      </w:pPr>
    </w:p>
    <w:p w14:paraId="72069532" w14:textId="77777777"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 будут реализованы:</w:t>
      </w:r>
    </w:p>
    <w:p w14:paraId="01968A9E" w14:textId="77777777"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1.01 «Формирование благоприятного инвестиционного климата»;</w:t>
      </w:r>
    </w:p>
    <w:p w14:paraId="07506ECC" w14:textId="77777777"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1.02 «Государственная поддержка инвестиционной и инновационной деятельности»;</w:t>
      </w:r>
    </w:p>
    <w:p w14:paraId="33B73FB5" w14:textId="77777777"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Pr>
          <w:rFonts w:ascii="Times New Roman" w:hAnsi="Times New Roman" w:cs="Times New Roman"/>
          <w:sz w:val="28"/>
          <w:szCs w:val="28"/>
        </w:rPr>
        <w:t xml:space="preserve">1 «Системные меры по повышению производительности труда»; </w:t>
      </w:r>
    </w:p>
    <w:p w14:paraId="1813DF8E" w14:textId="77777777"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Pr>
          <w:rFonts w:ascii="Times New Roman" w:hAnsi="Times New Roman" w:cs="Times New Roman"/>
          <w:sz w:val="28"/>
          <w:szCs w:val="28"/>
        </w:rPr>
        <w:t>2 «Адресная поддержка повышения производительности труда на предприятиях».</w:t>
      </w:r>
    </w:p>
    <w:p w14:paraId="4D740FC8" w14:textId="77777777"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исполнения основного мероприятия 1.01 «Формирование благоприятного инвестиционного климата» будет осуществляться работа по следующим направлениям:</w:t>
      </w:r>
    </w:p>
    <w:p w14:paraId="788E4EE5" w14:textId="77777777" w:rsidR="00642D70" w:rsidRPr="00995CA1" w:rsidRDefault="00642D70" w:rsidP="00642D70">
      <w:pPr>
        <w:spacing w:after="0" w:line="240" w:lineRule="auto"/>
        <w:ind w:firstLine="709"/>
        <w:jc w:val="both"/>
        <w:rPr>
          <w:rFonts w:ascii="Times New Roman" w:hAnsi="Times New Roman" w:cs="Times New Roman"/>
          <w:sz w:val="28"/>
          <w:szCs w:val="28"/>
        </w:rPr>
      </w:pPr>
      <w:r w:rsidRPr="00995CA1">
        <w:rPr>
          <w:rFonts w:ascii="Times New Roman" w:hAnsi="Times New Roman" w:cs="Times New Roman"/>
          <w:sz w:val="28"/>
          <w:szCs w:val="28"/>
        </w:rPr>
        <w:t>1) увеличение уставного капитала АО «Корпорация развития Курской области»;</w:t>
      </w:r>
    </w:p>
    <w:p w14:paraId="0675AA9F" w14:textId="77777777" w:rsidR="00642D70" w:rsidRPr="00995CA1" w:rsidRDefault="00642D70" w:rsidP="00642D70">
      <w:pPr>
        <w:spacing w:after="0" w:line="300" w:lineRule="exact"/>
        <w:ind w:firstLine="709"/>
        <w:jc w:val="both"/>
        <w:rPr>
          <w:rFonts w:ascii="Times New Roman" w:hAnsi="Times New Roman" w:cs="Times New Roman"/>
          <w:color w:val="000000" w:themeColor="text1"/>
          <w:sz w:val="28"/>
          <w:szCs w:val="28"/>
        </w:rPr>
      </w:pPr>
      <w:r w:rsidRPr="00995CA1">
        <w:rPr>
          <w:rFonts w:ascii="Times New Roman" w:hAnsi="Times New Roman" w:cs="Times New Roman"/>
          <w:color w:val="000000" w:themeColor="text1"/>
          <w:sz w:val="28"/>
          <w:szCs w:val="28"/>
        </w:rPr>
        <w:t>2) предоставление субсидии из областного бюджета юридическим лицам, являющимся хозяйственными обществами, 100 процентов акций (долей) которых находится в государственной собственности Курской области, способствующим развитию инвестиционной деятельности, в форме безвозмездного денежного вклада Курской области в имущество, не увеличивающего уставный капитал общества и не изменяющего номинальную стоимость акций;</w:t>
      </w:r>
    </w:p>
    <w:p w14:paraId="6B1F39F3" w14:textId="77777777" w:rsidR="00642D70" w:rsidRDefault="00642D70" w:rsidP="00642D70">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3) проведение мероприятий по созданию благоприятных условий для привлечения инвестиций в экономику Курской области.</w:t>
      </w:r>
    </w:p>
    <w:p w14:paraId="27FF1537" w14:textId="77777777"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целях реализации данного направления будет осуществляться следующая работа:</w:t>
      </w:r>
    </w:p>
    <w:p w14:paraId="7FDDB538" w14:textId="77777777" w:rsidR="00642D70" w:rsidRDefault="00642D70" w:rsidP="00642D70">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а) актуализация инвестиционного законодательства Курской области, включающая мониторинг инвестиционного законодательства Курской области и подготовку предложений по его совершенствованию;</w:t>
      </w:r>
    </w:p>
    <w:p w14:paraId="777E282A"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 разработка и принятие нормативных правовых актов Курской области по вопросам инвестиционной деятельности.</w:t>
      </w:r>
    </w:p>
    <w:p w14:paraId="3DD7D928"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Нормативно-правовое регулирование инвестиционной деятельности </w:t>
      </w:r>
      <w:r w:rsidRPr="007C4F42">
        <w:rPr>
          <w:rFonts w:ascii="Times New Roman" w:hAnsi="Times New Roman" w:cs="Times New Roman"/>
          <w:sz w:val="28"/>
          <w:szCs w:val="28"/>
        </w:rPr>
        <w:lastRenderedPageBreak/>
        <w:t>является одним из важнейших направлений работы органов исполнительной власти по созданию благоприятного инвестиционного климата. Актуализация инвестиционного законодательства Курской области будет осуществляться на предмет его соответствия федеральному законодательству, а также с целью использования положительного опыта других регионов в законодательном обес</w:t>
      </w:r>
      <w:r w:rsidR="005B4372" w:rsidRPr="007C4F42">
        <w:rPr>
          <w:rFonts w:ascii="Times New Roman" w:hAnsi="Times New Roman" w:cs="Times New Roman"/>
          <w:sz w:val="28"/>
          <w:szCs w:val="28"/>
        </w:rPr>
        <w:t>печении деятельности инвесторов;</w:t>
      </w:r>
    </w:p>
    <w:p w14:paraId="1CB29DCA"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разработка нормативных правовых актов Курской области по вопросам развития государственно-частного партнерства на территории области.</w:t>
      </w:r>
    </w:p>
    <w:p w14:paraId="0B5C0216"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С целью создания правовых условий для более широкого привлечения частных инвестиций в социальную сферу, а также в сферу создания инфраструктуры после принятия Федерального закона </w:t>
      </w:r>
      <w:r w:rsidR="00DF7438" w:rsidRPr="007C4F42">
        <w:rPr>
          <w:rFonts w:ascii="Times New Roman" w:hAnsi="Times New Roman" w:cs="Times New Roman"/>
          <w:sz w:val="28"/>
          <w:szCs w:val="28"/>
        </w:rPr>
        <w:t>«</w:t>
      </w:r>
      <w:r w:rsidRPr="007C4F42">
        <w:rPr>
          <w:rFonts w:ascii="Times New Roman" w:hAnsi="Times New Roman" w:cs="Times New Roman"/>
          <w:sz w:val="28"/>
          <w:szCs w:val="28"/>
        </w:rPr>
        <w:t>О государственно-частном партнерстве в Российской Федерации</w:t>
      </w:r>
      <w:r w:rsidR="00DF7438" w:rsidRPr="007C4F42">
        <w:rPr>
          <w:rFonts w:ascii="Times New Roman" w:hAnsi="Times New Roman" w:cs="Times New Roman"/>
          <w:sz w:val="28"/>
          <w:szCs w:val="28"/>
        </w:rPr>
        <w:t>»</w:t>
      </w:r>
      <w:r w:rsidRPr="007C4F42">
        <w:rPr>
          <w:rFonts w:ascii="Times New Roman" w:hAnsi="Times New Roman" w:cs="Times New Roman"/>
          <w:sz w:val="28"/>
          <w:szCs w:val="28"/>
        </w:rPr>
        <w:t xml:space="preserve"> будут разработаны необходимые нормативно-правовые акты Кур</w:t>
      </w:r>
      <w:r w:rsidR="005B4372" w:rsidRPr="007C4F42">
        <w:rPr>
          <w:rFonts w:ascii="Times New Roman" w:hAnsi="Times New Roman" w:cs="Times New Roman"/>
          <w:sz w:val="28"/>
          <w:szCs w:val="28"/>
        </w:rPr>
        <w:t>ской области по данному вопросу;</w:t>
      </w:r>
    </w:p>
    <w:p w14:paraId="63C8C634" w14:textId="70E63E26"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г) заключение соглашений о сотрудничестве между </w:t>
      </w:r>
      <w:r w:rsidR="005A28C8">
        <w:rPr>
          <w:rFonts w:ascii="Times New Roman" w:hAnsi="Times New Roman" w:cs="Times New Roman"/>
          <w:sz w:val="28"/>
          <w:szCs w:val="28"/>
        </w:rPr>
        <w:t>Правительством</w:t>
      </w:r>
      <w:r w:rsidRPr="007C4F42">
        <w:rPr>
          <w:rFonts w:ascii="Times New Roman" w:hAnsi="Times New Roman" w:cs="Times New Roman"/>
          <w:sz w:val="28"/>
          <w:szCs w:val="28"/>
        </w:rPr>
        <w:t xml:space="preserve"> Курской области и инвестиционными компаниями (собственниками предприятий), организациями, занимающимися вопросами поддержки инвестиционной деятельности.</w:t>
      </w:r>
    </w:p>
    <w:p w14:paraId="2868AC48"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Будет осуществляться совершенствование правовых актов, регулирующих вопросы заключения соглашений с руководителями инвестиционных компаний и собственниками организаций, работающими на территории Курской области. Продолжится практика заключения соглашений с новыми компаниям</w:t>
      </w:r>
      <w:r w:rsidR="005B4372" w:rsidRPr="007C4F42">
        <w:rPr>
          <w:rFonts w:ascii="Times New Roman" w:hAnsi="Times New Roman" w:cs="Times New Roman"/>
          <w:sz w:val="28"/>
          <w:szCs w:val="28"/>
        </w:rPr>
        <w:t>и, начинающими работу в регионе;</w:t>
      </w:r>
    </w:p>
    <w:p w14:paraId="52A61581"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д) разработка и актуализация Инвестиционной стратегии Курской области до 2025 года.</w:t>
      </w:r>
    </w:p>
    <w:p w14:paraId="4893DD6A"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Инвестиционн</w:t>
      </w:r>
      <w:r w:rsidR="00F72DFD" w:rsidRPr="007C4F42">
        <w:rPr>
          <w:rFonts w:ascii="Times New Roman" w:hAnsi="Times New Roman" w:cs="Times New Roman"/>
          <w:sz w:val="28"/>
          <w:szCs w:val="28"/>
        </w:rPr>
        <w:t>ая</w:t>
      </w:r>
      <w:r w:rsidRPr="007C4F42">
        <w:rPr>
          <w:rFonts w:ascii="Times New Roman" w:hAnsi="Times New Roman" w:cs="Times New Roman"/>
          <w:sz w:val="28"/>
          <w:szCs w:val="28"/>
        </w:rPr>
        <w:t xml:space="preserve"> стратеги</w:t>
      </w:r>
      <w:r w:rsidR="00965526" w:rsidRPr="007C4F42">
        <w:rPr>
          <w:rFonts w:ascii="Times New Roman" w:hAnsi="Times New Roman" w:cs="Times New Roman"/>
          <w:sz w:val="28"/>
          <w:szCs w:val="28"/>
        </w:rPr>
        <w:t>я</w:t>
      </w:r>
      <w:r w:rsidRPr="007C4F42">
        <w:rPr>
          <w:rFonts w:ascii="Times New Roman" w:hAnsi="Times New Roman" w:cs="Times New Roman"/>
          <w:sz w:val="28"/>
          <w:szCs w:val="28"/>
        </w:rPr>
        <w:t xml:space="preserve"> Курской области до 2025 года (далее </w:t>
      </w:r>
      <w:r w:rsidR="00965526" w:rsidRPr="007C4F42">
        <w:rPr>
          <w:rFonts w:ascii="Times New Roman" w:hAnsi="Times New Roman" w:cs="Times New Roman"/>
          <w:sz w:val="28"/>
          <w:szCs w:val="28"/>
        </w:rPr>
        <w:t>-</w:t>
      </w:r>
      <w:r w:rsidRPr="007C4F42">
        <w:rPr>
          <w:rFonts w:ascii="Times New Roman" w:hAnsi="Times New Roman" w:cs="Times New Roman"/>
          <w:sz w:val="28"/>
          <w:szCs w:val="28"/>
        </w:rPr>
        <w:t xml:space="preserve">  Инвестиционная стратегия) </w:t>
      </w:r>
      <w:r w:rsidR="008A62C7" w:rsidRPr="007C4F42">
        <w:rPr>
          <w:rFonts w:ascii="Times New Roman" w:hAnsi="Times New Roman" w:cs="Times New Roman"/>
          <w:sz w:val="28"/>
          <w:szCs w:val="28"/>
        </w:rPr>
        <w:t xml:space="preserve">разработана и </w:t>
      </w:r>
      <w:r w:rsidRPr="007C4F42">
        <w:rPr>
          <w:rFonts w:ascii="Times New Roman" w:hAnsi="Times New Roman" w:cs="Times New Roman"/>
          <w:sz w:val="28"/>
          <w:szCs w:val="28"/>
        </w:rPr>
        <w:t>утверждена постановлением Губернатора Курской области от 02.12.2014 № 527-пг. Ежегодно запланировано проведение работ по актуализации положений Инвестиционной стратегии;</w:t>
      </w:r>
    </w:p>
    <w:p w14:paraId="6BA20665"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е) проведение обучающих семинаров для муниципальных служащих органов местного самоуправления.</w:t>
      </w:r>
    </w:p>
    <w:p w14:paraId="41DC3732"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Повышение квалификации муниципальных служащих, занимающихся вопросами привлечения инвестиций в районы, одно из направлений повышения инвестиционной привлекательности Курской области в целом. Организация системы обучения специалистов районного звена позволит поднять на качественно новый уровень организацию работы с инвесторами в муниципальных районах и, в конечном итоге, приведет к увеличению объемов инвестиций, привлекае</w:t>
      </w:r>
      <w:r w:rsidR="005B4372" w:rsidRPr="007C4F42">
        <w:rPr>
          <w:rFonts w:ascii="Times New Roman" w:hAnsi="Times New Roman" w:cs="Times New Roman"/>
          <w:sz w:val="28"/>
          <w:szCs w:val="28"/>
        </w:rPr>
        <w:t>мых в муниципальные образования;</w:t>
      </w:r>
    </w:p>
    <w:p w14:paraId="383E3F39"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ж) обучение специалистов органов исполнительной власти Курской области, занимающихся вопросами инвестиционной деятельности. </w:t>
      </w:r>
    </w:p>
    <w:p w14:paraId="470C412D" w14:textId="30C4EE4D" w:rsidR="001F4DB2" w:rsidRPr="007C4F42" w:rsidRDefault="001F4DB2" w:rsidP="001F4DB2">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 xml:space="preserve">Одним из важных направлений в решении задачи повышения эффективности деятельности </w:t>
      </w:r>
      <w:r w:rsidR="005A2DE7">
        <w:rPr>
          <w:rFonts w:ascii="Times New Roman" w:hAnsi="Times New Roman" w:cs="Times New Roman"/>
          <w:sz w:val="28"/>
          <w:szCs w:val="28"/>
        </w:rPr>
        <w:t xml:space="preserve">органов исполнительной </w:t>
      </w:r>
      <w:r w:rsidRPr="007C4F42">
        <w:rPr>
          <w:rFonts w:ascii="Times New Roman" w:hAnsi="Times New Roman" w:cs="Times New Roman"/>
          <w:sz w:val="28"/>
          <w:szCs w:val="28"/>
        </w:rPr>
        <w:t>власти</w:t>
      </w:r>
      <w:r w:rsidR="005A2DE7">
        <w:rPr>
          <w:rFonts w:ascii="Times New Roman" w:hAnsi="Times New Roman" w:cs="Times New Roman"/>
          <w:sz w:val="28"/>
          <w:szCs w:val="28"/>
        </w:rPr>
        <w:t xml:space="preserve"> Курской</w:t>
      </w:r>
      <w:r w:rsidRPr="007C4F42">
        <w:rPr>
          <w:rFonts w:ascii="Times New Roman" w:hAnsi="Times New Roman" w:cs="Times New Roman"/>
          <w:sz w:val="28"/>
          <w:szCs w:val="28"/>
        </w:rPr>
        <w:t xml:space="preserve"> </w:t>
      </w:r>
      <w:r w:rsidRPr="007C4F42">
        <w:rPr>
          <w:rFonts w:ascii="Times New Roman" w:hAnsi="Times New Roman" w:cs="Times New Roman"/>
          <w:sz w:val="28"/>
          <w:szCs w:val="28"/>
        </w:rPr>
        <w:lastRenderedPageBreak/>
        <w:t>области будет организация системной работы по прохождению государственными гражданскими служащими обучения по профильным вопросам в имеющих высокую репутацию учебных заведениях, таких, например, как Академия народного хозяйства и государственной службы при Президенте Российской Федерации;</w:t>
      </w:r>
    </w:p>
    <w:p w14:paraId="3C2D4286" w14:textId="77777777" w:rsidR="0003731E"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з) </w:t>
      </w:r>
      <w:r w:rsidR="0003731E" w:rsidRPr="007C4F42">
        <w:rPr>
          <w:rFonts w:ascii="Times New Roman" w:hAnsi="Times New Roman" w:cs="Times New Roman"/>
          <w:sz w:val="28"/>
          <w:szCs w:val="28"/>
        </w:rPr>
        <w:t>присвоение (обновление) и поддержание рейтинга Курской области по международной шкале и присвоение (обновление) и поддержание рейтинга Курской области и выпускаемым государственным ценным бумагам Курской области по национальной шкале.</w:t>
      </w:r>
    </w:p>
    <w:p w14:paraId="2F5DED17" w14:textId="77777777" w:rsidR="00CB2A1D" w:rsidRPr="007C4F42" w:rsidRDefault="0003731E"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 </w:t>
      </w:r>
      <w:r w:rsidR="00CB2A1D" w:rsidRPr="007C4F42">
        <w:rPr>
          <w:rFonts w:ascii="Times New Roman" w:hAnsi="Times New Roman" w:cs="Times New Roman"/>
          <w:sz w:val="28"/>
          <w:szCs w:val="28"/>
        </w:rPr>
        <w:t>В 2012 году международным рейтинговым агентством «FitchRatings» на основании государственного контракта проведено исследование экономического, инвестиционного и финансового состояния области, по результатам которого региону присвоен</w:t>
      </w:r>
      <w:r w:rsidR="005B4372" w:rsidRPr="007C4F42">
        <w:rPr>
          <w:rFonts w:ascii="Times New Roman" w:hAnsi="Times New Roman" w:cs="Times New Roman"/>
          <w:sz w:val="28"/>
          <w:szCs w:val="28"/>
        </w:rPr>
        <w:t>ы</w:t>
      </w:r>
      <w:r w:rsidR="00CB2A1D" w:rsidRPr="007C4F42">
        <w:rPr>
          <w:rFonts w:ascii="Times New Roman" w:hAnsi="Times New Roman" w:cs="Times New Roman"/>
          <w:sz w:val="28"/>
          <w:szCs w:val="28"/>
        </w:rPr>
        <w:t xml:space="preserve"> соответствующи</w:t>
      </w:r>
      <w:r w:rsidR="005B4372" w:rsidRPr="007C4F42">
        <w:rPr>
          <w:rFonts w:ascii="Times New Roman" w:hAnsi="Times New Roman" w:cs="Times New Roman"/>
          <w:sz w:val="28"/>
          <w:szCs w:val="28"/>
        </w:rPr>
        <w:t>е</w:t>
      </w:r>
      <w:r w:rsidR="00CB2A1D" w:rsidRPr="007C4F42">
        <w:rPr>
          <w:rFonts w:ascii="Times New Roman" w:hAnsi="Times New Roman" w:cs="Times New Roman"/>
          <w:sz w:val="28"/>
          <w:szCs w:val="28"/>
        </w:rPr>
        <w:t xml:space="preserve"> международный и национальный кредитный рейтинги. </w:t>
      </w:r>
    </w:p>
    <w:p w14:paraId="415D601A"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Наличие позитивного международного кредитного рейтинга является важным индикатором состояния, в том числе, инвестиционного климата в области. Работа по данному направлению будет проводиться в соответствии с действующим законодательством.</w:t>
      </w:r>
    </w:p>
    <w:p w14:paraId="363C89A2"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Кроме того, в целях улучшения инвестиционного имиджа Курской области целесообразно провести работу по присвоению области рейтинга кредитоспособности. Рейтинг кредитоспособности планируется присвоить по национальной шкале и не учитывать суверенный страновой риск. Это дает ряд преимуществ, основным из которых является возможность более тонкой дифференциации оценок платежеспособности заемщиков по сравнению с кредитными рейтингами, присвоенными по международной шкале;</w:t>
      </w:r>
    </w:p>
    <w:p w14:paraId="4B78CA91"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 организация и проведение информационно-презентационных мероприятий в Российской Федерации (в том числе в посольствах иностранных государств в Российской Федерации) и за рубежом;</w:t>
      </w:r>
    </w:p>
    <w:p w14:paraId="73FFF7C9"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к) участие в тематических семинарах, конгрессах, конференциях, форумах, совещаниях, партнериатах, саммитах по вопросам инвестиционной деятельности; участие органов исполнительной власти Курской области в выставочно-ярмарочных мероприятиях.</w:t>
      </w:r>
    </w:p>
    <w:p w14:paraId="3DD1D56D" w14:textId="77777777"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Активизация презентационной, выставочно-ярмарочной деятельности региона является необходимым условием продвижения на российском и международных рынках продукции, производимой курскими организациями;</w:t>
      </w:r>
    </w:p>
    <w:p w14:paraId="35F596BB" w14:textId="77777777" w:rsidR="00CF5433"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л) сопровождение инвестиционного портала Курской области (kurskoblinvest.ru) (отслеживание работоспособности портала, мониторинг и лечение портала от вирусов, резервное копирование, ведение статистики посещаемости, наполнение портала информацией, корректировка разделов портала и актуализация информации, размещенной в них, обновление баннеров).</w:t>
      </w:r>
    </w:p>
    <w:p w14:paraId="29A45F7F" w14:textId="5E5D316E"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Наличие портала в сети Интернет об инвестиционной деятельности </w:t>
      </w:r>
      <w:r w:rsidRPr="007C4F42">
        <w:rPr>
          <w:rFonts w:ascii="Times New Roman" w:hAnsi="Times New Roman" w:cs="Times New Roman"/>
          <w:sz w:val="28"/>
          <w:szCs w:val="28"/>
        </w:rPr>
        <w:lastRenderedPageBreak/>
        <w:t xml:space="preserve">является обязательным требованием Стандарта. Данный информационный ресурс необходим для повышения информационной открытости области для инвесторов, упрощения доступа к важной для инвесторов информации об условиях работы в регионе, мерах государственной поддержки, предоставляемых в соответствии с законодательством, свободных земельных участках. </w:t>
      </w:r>
      <w:r w:rsidR="00D33F70">
        <w:rPr>
          <w:rFonts w:ascii="Times New Roman" w:hAnsi="Times New Roman" w:cs="Times New Roman"/>
          <w:sz w:val="28"/>
          <w:szCs w:val="28"/>
        </w:rPr>
        <w:t>Правительству</w:t>
      </w:r>
      <w:r w:rsidRPr="007C4F42">
        <w:rPr>
          <w:rFonts w:ascii="Times New Roman" w:hAnsi="Times New Roman" w:cs="Times New Roman"/>
          <w:sz w:val="28"/>
          <w:szCs w:val="28"/>
        </w:rPr>
        <w:t xml:space="preserve"> Курской области необходимо осуществлять постоянную работу со специализированными организациями по поддержанию портала и его продвижению в сети «Интернет»;</w:t>
      </w:r>
    </w:p>
    <w:p w14:paraId="21F063A1"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м) проведение работ по актуализации автоматизированной информационной системы «Интерактивная инвестиционная карта Курской области».</w:t>
      </w:r>
    </w:p>
    <w:p w14:paraId="1E2ADED3"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Работа по данному направлению осуществляется с целью поддержания на необходимом уровне инвестиционного портала Курской области. Наличие на портале интерактивной карты является обязательным условием функционирования портала.</w:t>
      </w:r>
    </w:p>
    <w:p w14:paraId="6DB2F521" w14:textId="77777777"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Интерактивная карта, разработанная в 2013 году и отражающая послойно информацию о свободных земельных участках, пригодных для строительства новых предприятий, создаваемых промышленных парках, имеющихся и планируемых к созданию объектах инженерной и дорожной инфраструктуры должна постоянно актуализироваться и быть доступной для инвестора. Работа по выполнению данного основного мероприятия будет осуществляться органами исполнительной власти области совместно с компанией - разработчиком интерактивной карты;</w:t>
      </w:r>
    </w:p>
    <w:p w14:paraId="0572E0D6" w14:textId="77777777"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н) повышение информационной открытости Курской области для инвесторов.</w:t>
      </w:r>
    </w:p>
    <w:p w14:paraId="2328304F" w14:textId="77777777"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В рамках работы по данному направлению будут осуществляться:</w:t>
      </w:r>
    </w:p>
    <w:p w14:paraId="57D213E0" w14:textId="77777777"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ведение единой информационной базы инвестиционных проектов, реализуемых и планируемых к реализации на территории области;</w:t>
      </w:r>
    </w:p>
    <w:p w14:paraId="315155A9" w14:textId="77777777"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мониторинг свободных земельных участков, в том числе находящихся в областной собственности, в целях организации промышленных парков на территории области для создания новых производств;</w:t>
      </w:r>
    </w:p>
    <w:p w14:paraId="185013B5" w14:textId="77777777"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публикация в СМИ материалов по инвестиционной тематике;</w:t>
      </w:r>
    </w:p>
    <w:p w14:paraId="5310BC07" w14:textId="77777777"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продвижение инвестиционного потенциала Курской области в Российской Федерации и за рубежом с использованием информационных ресурсов российских информационных агентств;</w:t>
      </w:r>
    </w:p>
    <w:p w14:paraId="440A3800" w14:textId="77777777"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о) проведение работ по созданию и внедрению единой системы сопровождения и поддержки региональных инвестпроектов;</w:t>
      </w:r>
    </w:p>
    <w:p w14:paraId="57134193" w14:textId="77777777"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4) создание особой экономической зоны промышленно-производственного типа в г. Железногорске и Железногорском районе.</w:t>
      </w:r>
    </w:p>
    <w:p w14:paraId="18C77B9F" w14:textId="77777777"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В рамках данного направления будет осуществляться работа по рассмотрению документов компаний, претендующих на получение статуса «резидент ОЭЗ», работа по сопровождению инвестиционных проектов, реализуемых на территории ОЭЗ, а также работа по продвижению ОЭЗ;</w:t>
      </w:r>
    </w:p>
    <w:p w14:paraId="37DE46B9" w14:textId="77777777"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lastRenderedPageBreak/>
        <w:t>5) создание инженерной и дорожной инфраструктуры индустриальных парков.</w:t>
      </w:r>
    </w:p>
    <w:p w14:paraId="654BF761" w14:textId="77777777" w:rsidR="00CF5433"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Данное направление работы по созданию в области более благоприятного инвестиционного климата за счет подготовки необходимых инвестору земельных участков с подведенной инфраструктурой в других регионах, уже создавших промышленные (индустриальные) парки, показало высокую эффективность. В области необходимо проделать работу по организации строительства объектов инженерной и дорожной инфраструктуры к земельным участкам, которым в соответствии с действующим региональным законодательством присвоен статус «Индустриальный (промышленный) парк».</w:t>
      </w:r>
    </w:p>
    <w:p w14:paraId="2E5E2BB7"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исполнения основного мероприятия 1.02 «Государственная поддержка инвестиционной и инновационной деятельности» будет осуществляться работа по следующим направлениям:</w:t>
      </w:r>
    </w:p>
    <w:p w14:paraId="6DBFDF66"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1) проведение мероприятий по оказанию государственной поддержки инвестиционной и инновационной деятельности.</w:t>
      </w:r>
    </w:p>
    <w:p w14:paraId="74EA36AD"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целях реализации данного направления будет осуществляться следующая работа:</w:t>
      </w:r>
    </w:p>
    <w:p w14:paraId="584076F8"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а) 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формах государственных гарантий Курской области или имущества залогового фонда Курской области;</w:t>
      </w:r>
    </w:p>
    <w:p w14:paraId="3C20E621"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 проведение работы по рассмотрению заявок организаций области на предоставление им режима наибольшего благоприятствования;</w:t>
      </w:r>
    </w:p>
    <w:p w14:paraId="55295841"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организация работы по рассмотрению заявок налогоплательщиков области на предоставление им инвестиционного налогового кредита;</w:t>
      </w:r>
    </w:p>
    <w:p w14:paraId="2E2B8E68"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г) оказание методической помощи организациям области по вопросам разработки бизнес-планов, условий получения государственной поддержки;</w:t>
      </w:r>
    </w:p>
    <w:p w14:paraId="5802E89F"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д) организация работы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эффективности использования направляемых на капитальные вложения средств областного бюджета;</w:t>
      </w:r>
    </w:p>
    <w:p w14:paraId="02A3087D"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е) предоставление субсидий за счет средств областного бюджета:</w:t>
      </w:r>
    </w:p>
    <w:p w14:paraId="43894607"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инвесторам на возмещение части затрат на уплату процентов по кредитам, полученным в кредитных организациях на реализацию инвестиционных проектов</w:t>
      </w:r>
      <w:r w:rsidR="00306884" w:rsidRPr="007C4F42">
        <w:rPr>
          <w:rFonts w:ascii="Times New Roman" w:hAnsi="Times New Roman" w:cs="Times New Roman"/>
          <w:sz w:val="28"/>
          <w:szCs w:val="28"/>
        </w:rPr>
        <w:t xml:space="preserve">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 при наличии кредитных обязательств, </w:t>
      </w:r>
      <w:r w:rsidR="00886420" w:rsidRPr="007C4F42">
        <w:rPr>
          <w:rFonts w:ascii="Times New Roman" w:hAnsi="Times New Roman" w:cs="Times New Roman"/>
          <w:sz w:val="28"/>
          <w:szCs w:val="28"/>
        </w:rPr>
        <w:t>действующих на дату объявления конкурсного отбора наиболее эффективных инвестиционных проектов</w:t>
      </w:r>
      <w:r w:rsidRPr="007C4F42">
        <w:rPr>
          <w:rFonts w:ascii="Times New Roman" w:hAnsi="Times New Roman" w:cs="Times New Roman"/>
          <w:sz w:val="28"/>
          <w:szCs w:val="28"/>
        </w:rPr>
        <w:t>;</w:t>
      </w:r>
    </w:p>
    <w:p w14:paraId="0450513E"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инвесторам-лизингополучателям на возмещение:</w:t>
      </w:r>
    </w:p>
    <w:p w14:paraId="184961B6"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части затрат на уплату процентов по кредитам, полученным в </w:t>
      </w:r>
      <w:r w:rsidRPr="007C4F42">
        <w:rPr>
          <w:rFonts w:ascii="Times New Roman" w:hAnsi="Times New Roman" w:cs="Times New Roman"/>
          <w:sz w:val="28"/>
          <w:szCs w:val="28"/>
        </w:rPr>
        <w:lastRenderedPageBreak/>
        <w:t xml:space="preserve">кредитных организациях на уплату </w:t>
      </w:r>
      <w:r w:rsidR="00886420" w:rsidRPr="007C4F42">
        <w:rPr>
          <w:rFonts w:ascii="Times New Roman" w:hAnsi="Times New Roman" w:cs="Times New Roman"/>
          <w:sz w:val="28"/>
          <w:szCs w:val="28"/>
        </w:rPr>
        <w:t>лизингодателю</w:t>
      </w:r>
      <w:r w:rsidRPr="007C4F42">
        <w:rPr>
          <w:rFonts w:ascii="Times New Roman" w:hAnsi="Times New Roman" w:cs="Times New Roman"/>
          <w:sz w:val="28"/>
          <w:szCs w:val="28"/>
        </w:rPr>
        <w:t xml:space="preserve"> первого лизингового платежа за оборудование, приобретаемое по лизингу для реализации инвестиционных проектов</w:t>
      </w:r>
      <w:r w:rsidR="00886420" w:rsidRPr="007C4F42">
        <w:rPr>
          <w:rFonts w:ascii="Times New Roman" w:hAnsi="Times New Roman" w:cs="Times New Roman"/>
          <w:sz w:val="28"/>
          <w:szCs w:val="28"/>
        </w:rPr>
        <w:t>,</w:t>
      </w:r>
      <w:r w:rsidRPr="007C4F42">
        <w:rPr>
          <w:rFonts w:ascii="Times New Roman" w:hAnsi="Times New Roman" w:cs="Times New Roman"/>
          <w:sz w:val="28"/>
          <w:szCs w:val="28"/>
        </w:rPr>
        <w:t xml:space="preserve"> на условиях последующего выкупа данного оборудования</w:t>
      </w:r>
      <w:r w:rsidR="00886420" w:rsidRPr="007C4F42">
        <w:rPr>
          <w:rFonts w:ascii="Times New Roman" w:hAnsi="Times New Roman" w:cs="Times New Roman"/>
          <w:sz w:val="28"/>
          <w:szCs w:val="28"/>
        </w:rPr>
        <w:t>,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 при наличии кредитных обязательств, действующих на дату объявления конкурсного отбора наиболее эффективных инвестиционных проектов;</w:t>
      </w:r>
    </w:p>
    <w:p w14:paraId="523640B5" w14:textId="77777777"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части затрат на уплату лизинговых платежей, осуществляемых лизингополучател</w:t>
      </w:r>
      <w:r w:rsidR="00023049" w:rsidRPr="007C4F42">
        <w:rPr>
          <w:rFonts w:ascii="Times New Roman" w:hAnsi="Times New Roman" w:cs="Times New Roman"/>
          <w:sz w:val="28"/>
          <w:szCs w:val="28"/>
        </w:rPr>
        <w:t>ем</w:t>
      </w:r>
      <w:r w:rsidRPr="007C4F42">
        <w:rPr>
          <w:rFonts w:ascii="Times New Roman" w:hAnsi="Times New Roman" w:cs="Times New Roman"/>
          <w:sz w:val="28"/>
          <w:szCs w:val="28"/>
        </w:rPr>
        <w:t xml:space="preserve"> в соответствии с графиком, включающих в себя проценты по кредитам, полученным лизингодател</w:t>
      </w:r>
      <w:r w:rsidR="00023049" w:rsidRPr="007C4F42">
        <w:rPr>
          <w:rFonts w:ascii="Times New Roman" w:hAnsi="Times New Roman" w:cs="Times New Roman"/>
          <w:sz w:val="28"/>
          <w:szCs w:val="28"/>
        </w:rPr>
        <w:t xml:space="preserve">ем </w:t>
      </w:r>
      <w:r w:rsidRPr="007C4F42">
        <w:rPr>
          <w:rFonts w:ascii="Times New Roman" w:hAnsi="Times New Roman" w:cs="Times New Roman"/>
          <w:sz w:val="28"/>
          <w:szCs w:val="28"/>
        </w:rPr>
        <w:t>в кредитных организациях на приобретение оборудования, переданного в лизинг лизингополучател</w:t>
      </w:r>
      <w:r w:rsidR="00023049" w:rsidRPr="007C4F42">
        <w:rPr>
          <w:rFonts w:ascii="Times New Roman" w:hAnsi="Times New Roman" w:cs="Times New Roman"/>
          <w:sz w:val="28"/>
          <w:szCs w:val="28"/>
        </w:rPr>
        <w:t>ю</w:t>
      </w:r>
      <w:r w:rsidRPr="007C4F42">
        <w:rPr>
          <w:rFonts w:ascii="Times New Roman" w:hAnsi="Times New Roman" w:cs="Times New Roman"/>
          <w:sz w:val="28"/>
          <w:szCs w:val="28"/>
        </w:rPr>
        <w:t xml:space="preserve"> для реализации инвестиционных проектов, на условиях последующего выкупа лизингополучател</w:t>
      </w:r>
      <w:r w:rsidR="00023049" w:rsidRPr="007C4F42">
        <w:rPr>
          <w:rFonts w:ascii="Times New Roman" w:hAnsi="Times New Roman" w:cs="Times New Roman"/>
          <w:sz w:val="28"/>
          <w:szCs w:val="28"/>
        </w:rPr>
        <w:t>ем</w:t>
      </w:r>
      <w:r w:rsidRPr="007C4F42">
        <w:rPr>
          <w:rFonts w:ascii="Times New Roman" w:hAnsi="Times New Roman" w:cs="Times New Roman"/>
          <w:sz w:val="28"/>
          <w:szCs w:val="28"/>
        </w:rPr>
        <w:t xml:space="preserve"> данного оборудования</w:t>
      </w:r>
      <w:r w:rsidR="00023049" w:rsidRPr="007C4F42">
        <w:rPr>
          <w:rFonts w:ascii="Times New Roman" w:hAnsi="Times New Roman" w:cs="Times New Roman"/>
          <w:sz w:val="28"/>
          <w:szCs w:val="28"/>
        </w:rPr>
        <w:t>,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 при наличии кредитных обязательств, действующих на дату объявления конкурсного отбора наиболее эффективных инвестиционных проектов</w:t>
      </w:r>
      <w:r w:rsidRPr="007C4F42">
        <w:rPr>
          <w:rFonts w:ascii="Times New Roman" w:hAnsi="Times New Roman" w:cs="Times New Roman"/>
          <w:sz w:val="28"/>
          <w:szCs w:val="28"/>
        </w:rPr>
        <w:t>;</w:t>
      </w:r>
    </w:p>
    <w:p w14:paraId="065D456F" w14:textId="77777777" w:rsidR="00A131AE" w:rsidRPr="00A131AE" w:rsidRDefault="00A131AE" w:rsidP="00A131AE">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затрат в связи с ранее осуществленными капитальными вложениями в объекты инфраструктуры, находящиеся в собственности указанных юридических лиц, в целях реализации новых инвестиционных проектов, отобранных в порядке, установленном постановлением Правительства Российской Федерации от 19 октября 2020 г. №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14:paraId="433D7975"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ж) взаимодействие с российскими и международными институтами развития (государственная корпорация «Банк развития и внешнеэкономической деятельности (Внешэкономбанк)», Европейский банк реконструкции и развития и др.) по вопросу привлечения инвестиций в экономику Курской области.</w:t>
      </w:r>
    </w:p>
    <w:p w14:paraId="286957F2" w14:textId="7BF0AC9F"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Формы государственной поддержки, которая может быть оказана </w:t>
      </w:r>
      <w:r w:rsidRPr="007C4F42">
        <w:rPr>
          <w:rFonts w:ascii="Times New Roman" w:hAnsi="Times New Roman" w:cs="Times New Roman"/>
          <w:sz w:val="28"/>
          <w:szCs w:val="28"/>
        </w:rPr>
        <w:lastRenderedPageBreak/>
        <w:t>инвесторам, установлены Законом Курской области от 12 августа 2004 года № 37-ЗКО «Об инвестиционной деятельности в Курской области». Порядок предоставления государственной поддержки установлен указанным законом, а также подзаконными актами по данному вопросу, принятыми Губернатором Курской области и</w:t>
      </w:r>
      <w:r w:rsidR="00B65EC2" w:rsidRPr="007C4F42">
        <w:rPr>
          <w:rFonts w:ascii="Times New Roman" w:hAnsi="Times New Roman" w:cs="Times New Roman"/>
          <w:sz w:val="28"/>
          <w:szCs w:val="28"/>
        </w:rPr>
        <w:t xml:space="preserve"> </w:t>
      </w:r>
      <w:r w:rsidR="00833441">
        <w:rPr>
          <w:rFonts w:ascii="Times New Roman" w:hAnsi="Times New Roman" w:cs="Times New Roman"/>
          <w:sz w:val="28"/>
          <w:szCs w:val="28"/>
        </w:rPr>
        <w:t>Правительством</w:t>
      </w:r>
      <w:r w:rsidR="00B65EC2" w:rsidRPr="007C4F42">
        <w:rPr>
          <w:rFonts w:ascii="Times New Roman" w:hAnsi="Times New Roman" w:cs="Times New Roman"/>
          <w:sz w:val="28"/>
          <w:szCs w:val="28"/>
        </w:rPr>
        <w:t xml:space="preserve"> Курской области;</w:t>
      </w:r>
    </w:p>
    <w:p w14:paraId="6C5F9B9B"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з) организация работы в соответствии с требованиями федерального законодательства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эффективности использования направляемых на капитальные вложения средств областного бюджета;</w:t>
      </w:r>
    </w:p>
    <w:p w14:paraId="2AE16818"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 организация и проведение ежегодного конкурса «Инновация и изобретение года».</w:t>
      </w:r>
    </w:p>
    <w:p w14:paraId="24633205"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данного направления планируется проводить работу по выявлению экспертами наиболее эффективных и инновационных проектов и оказанию им государственной поддер</w:t>
      </w:r>
      <w:r w:rsidR="00B65EC2" w:rsidRPr="007C4F42">
        <w:rPr>
          <w:rFonts w:ascii="Times New Roman" w:hAnsi="Times New Roman" w:cs="Times New Roman"/>
          <w:sz w:val="28"/>
          <w:szCs w:val="28"/>
        </w:rPr>
        <w:t>жки путем предоставления премий;</w:t>
      </w:r>
    </w:p>
    <w:p w14:paraId="0C82A05E"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к) организация взаимодействия между инвесторами, органами исполнительной власти Курской области, службами занятости по содействию в подборе квалифицированного персонала и руководителей для предприятий, создаваемых в процессе реализации инвестиционных проектов.</w:t>
      </w:r>
    </w:p>
    <w:p w14:paraId="0A4EF29F"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области должна быть создана эффективная система подготовки учебными заведениями различных уровней специалистов тех профессий, которые востребованы или будут востребованы в ближайшей перспективе в связи с появлением новых производств, созданных в ходе реализации инвестиционных проектов. Необходимо обеспечить тесное взаимодействие органов исполнительной власти области, службы занятости, учебных заведений и инвесторов с целью создания условий для оперативного решения кадровых вопросов инвесторов;</w:t>
      </w:r>
    </w:p>
    <w:p w14:paraId="11BE6148" w14:textId="77777777"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2) реализация инвестиционных проектов с использованием средств Инвестиционного фонда Курской области.</w:t>
      </w:r>
    </w:p>
    <w:p w14:paraId="4FA6BE61" w14:textId="77777777"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Работа в данном направлении нацелена на привлечение в область в перспективе средств Инвестиционного фонда Российской Федерации. Средства регионального и федерального фондов не предоставляются частному инвестору, они используются на создание объектов инфраструктуры государственной или муниципальной собственности и предоставляются в виде субсидий муниципальным образованиям (в случае необходимости строительства объектов муниципальной собственности), или бюджетных инвестиций (в случае необходимости строительства объектов государственной собственности). Средства Инвестиционного фонда Российской Федерации предоставляются бюджету субъекта Российской Федерации</w:t>
      </w:r>
      <w:r w:rsidRPr="0077776F">
        <w:rPr>
          <w:rFonts w:ascii="Times New Roman" w:hAnsi="Times New Roman" w:cs="Times New Roman"/>
          <w:sz w:val="28"/>
          <w:szCs w:val="28"/>
        </w:rPr>
        <w:t xml:space="preserve"> также в форме субсидий. </w:t>
      </w:r>
    </w:p>
    <w:p w14:paraId="4AE2640F" w14:textId="77777777"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sidRPr="005011D2">
        <w:rPr>
          <w:rFonts w:ascii="Times New Roman" w:hAnsi="Times New Roman" w:cs="Times New Roman"/>
          <w:sz w:val="28"/>
          <w:szCs w:val="28"/>
        </w:rPr>
        <w:t>1</w:t>
      </w:r>
      <w:r>
        <w:rPr>
          <w:rFonts w:ascii="Times New Roman" w:hAnsi="Times New Roman" w:cs="Times New Roman"/>
          <w:sz w:val="28"/>
          <w:szCs w:val="28"/>
        </w:rPr>
        <w:t xml:space="preserve"> «Системные меры по повышению производительности труда» направлен на создание условий для повышения </w:t>
      </w:r>
      <w:r>
        <w:rPr>
          <w:rFonts w:ascii="Times New Roman" w:hAnsi="Times New Roman" w:cs="Times New Roman"/>
          <w:sz w:val="28"/>
          <w:szCs w:val="28"/>
        </w:rPr>
        <w:lastRenderedPageBreak/>
        <w:t xml:space="preserve">производительности труда </w:t>
      </w:r>
      <w:r w:rsidRPr="00067F80">
        <w:rPr>
          <w:rFonts w:ascii="Times New Roman" w:hAnsi="Times New Roman" w:cs="Times New Roman"/>
          <w:sz w:val="28"/>
          <w:szCs w:val="28"/>
        </w:rPr>
        <w:t>на средних и крупных предприятиях базовых несырьевых отраслей экономики</w:t>
      </w:r>
      <w:r>
        <w:rPr>
          <w:rFonts w:ascii="Times New Roman" w:hAnsi="Times New Roman" w:cs="Times New Roman"/>
          <w:sz w:val="28"/>
          <w:szCs w:val="28"/>
        </w:rPr>
        <w:t>.</w:t>
      </w:r>
    </w:p>
    <w:p w14:paraId="6A255E9A" w14:textId="5D7A41B1"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регионального проекта – 2020-202</w:t>
      </w:r>
      <w:r w:rsidR="00864501">
        <w:rPr>
          <w:rFonts w:ascii="Times New Roman" w:hAnsi="Times New Roman" w:cs="Times New Roman"/>
          <w:sz w:val="28"/>
          <w:szCs w:val="28"/>
        </w:rPr>
        <w:t>5</w:t>
      </w:r>
      <w:r>
        <w:rPr>
          <w:rFonts w:ascii="Times New Roman" w:hAnsi="Times New Roman" w:cs="Times New Roman"/>
          <w:sz w:val="28"/>
          <w:szCs w:val="28"/>
        </w:rPr>
        <w:t xml:space="preserve"> годы.</w:t>
      </w:r>
    </w:p>
    <w:p w14:paraId="36AB1AE7" w14:textId="77777777"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Исполнитель регионального проекта – комитет по экономике и развитию Курской области.</w:t>
      </w:r>
    </w:p>
    <w:p w14:paraId="5D33EB67" w14:textId="77777777"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реализации регионального проекта - д</w:t>
      </w:r>
      <w:r w:rsidRPr="00067F80">
        <w:rPr>
          <w:rFonts w:ascii="Times New Roman" w:hAnsi="Times New Roman" w:cs="Times New Roman"/>
          <w:sz w:val="28"/>
          <w:szCs w:val="28"/>
        </w:rPr>
        <w:t>остижение прироста производительности труда на средних и крупных предприятиях базовых несырьевых отраслей экономики</w:t>
      </w:r>
      <w:r>
        <w:rPr>
          <w:rFonts w:ascii="Times New Roman" w:hAnsi="Times New Roman" w:cs="Times New Roman"/>
          <w:sz w:val="28"/>
          <w:szCs w:val="28"/>
        </w:rPr>
        <w:t>.</w:t>
      </w:r>
    </w:p>
    <w:p w14:paraId="2BDAC64E" w14:textId="77777777"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регионального проекта планируется достижение целевых показателей </w:t>
      </w:r>
      <w:r w:rsidR="004D34DF">
        <w:rPr>
          <w:rFonts w:ascii="Times New Roman" w:hAnsi="Times New Roman" w:cs="Times New Roman"/>
          <w:sz w:val="28"/>
          <w:szCs w:val="28"/>
        </w:rPr>
        <w:t>20</w:t>
      </w:r>
      <w:r>
        <w:rPr>
          <w:rFonts w:ascii="Times New Roman" w:hAnsi="Times New Roman" w:cs="Times New Roman"/>
          <w:sz w:val="28"/>
          <w:szCs w:val="28"/>
        </w:rPr>
        <w:t xml:space="preserve"> приложения № 1 к настоящей государственной программе.</w:t>
      </w:r>
    </w:p>
    <w:p w14:paraId="02F669CB" w14:textId="77777777"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Нереализация регионального проекта может привести к недостижению запланированных целевых показателей проекта. </w:t>
      </w:r>
    </w:p>
    <w:p w14:paraId="424540DA" w14:textId="77777777"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регионального проекта 1.</w:t>
      </w:r>
      <w:r>
        <w:rPr>
          <w:rFonts w:ascii="Times New Roman" w:hAnsi="Times New Roman" w:cs="Times New Roman"/>
          <w:sz w:val="28"/>
          <w:szCs w:val="28"/>
          <w:lang w:val="en-US"/>
        </w:rPr>
        <w:t>L</w:t>
      </w:r>
      <w:r>
        <w:rPr>
          <w:rFonts w:ascii="Times New Roman" w:hAnsi="Times New Roman" w:cs="Times New Roman"/>
          <w:sz w:val="28"/>
          <w:szCs w:val="28"/>
        </w:rPr>
        <w:t>2 «Адресная поддержка повышения производительности труда на предприятиях» будет осуществляться работа по методологической и организационной поддержке повышения производительности труда на крупных предприятиях базовых несырьевых отраслей экономики, вовлеченных в реализацию национального проекта.</w:t>
      </w:r>
    </w:p>
    <w:p w14:paraId="75D5B633" w14:textId="77777777" w:rsidR="00B11EAC" w:rsidRPr="00B11EAC" w:rsidRDefault="00B11EAC" w:rsidP="00B11EAC">
      <w:pPr>
        <w:autoSpaceDE w:val="0"/>
        <w:autoSpaceDN w:val="0"/>
        <w:adjustRightInd w:val="0"/>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В рамках регионального проекта «Адресная поддержка повышения производительности труда на предприятиях» национального проекта «Производительность труда и поддержка занятости» предусматривается   предоставление субсидий:</w:t>
      </w:r>
    </w:p>
    <w:p w14:paraId="22BBAC8E" w14:textId="77777777" w:rsidR="00B11EAC" w:rsidRP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а)</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создание и обеспечение деятельности автономной некоммерческой организации «Региональный центр компетенций в сфере производительности труда Курской области»;</w:t>
      </w:r>
    </w:p>
    <w:p w14:paraId="14D777F7" w14:textId="77777777" w:rsidR="00B11EAC" w:rsidRP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б)</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привлечение консультантов для работы на предприятиях, внедряющих мероприятия по повышению производительности труда;</w:t>
      </w:r>
    </w:p>
    <w:p w14:paraId="2921F0EF" w14:textId="77777777" w:rsid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в)</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w:t>
      </w:r>
    </w:p>
    <w:p w14:paraId="1624CF21" w14:textId="77777777" w:rsidR="00B11EAC" w:rsidRPr="00B11EAC" w:rsidRDefault="00B11EAC" w:rsidP="00B11EAC">
      <w:pPr>
        <w:autoSpaceDE w:val="0"/>
        <w:autoSpaceDN w:val="0"/>
        <w:adjustRightInd w:val="0"/>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14:paraId="1D2AD159" w14:textId="7B5A090B"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регионального проекта – 2020-202</w:t>
      </w:r>
      <w:r w:rsidR="00864501">
        <w:rPr>
          <w:rFonts w:ascii="Times New Roman" w:hAnsi="Times New Roman" w:cs="Times New Roman"/>
          <w:sz w:val="28"/>
          <w:szCs w:val="28"/>
        </w:rPr>
        <w:t>5</w:t>
      </w:r>
      <w:r>
        <w:rPr>
          <w:rFonts w:ascii="Times New Roman" w:hAnsi="Times New Roman" w:cs="Times New Roman"/>
          <w:sz w:val="28"/>
          <w:szCs w:val="28"/>
        </w:rPr>
        <w:t xml:space="preserve"> годы.</w:t>
      </w:r>
    </w:p>
    <w:p w14:paraId="0EAE0B31" w14:textId="77777777"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Исполнитель регионального проекта – комитет по экономике и развитию Курской области.</w:t>
      </w:r>
    </w:p>
    <w:p w14:paraId="45F011B2" w14:textId="77777777"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реализации регионального проекта - н</w:t>
      </w:r>
      <w:r w:rsidRPr="003C2BC0">
        <w:rPr>
          <w:rFonts w:ascii="Times New Roman" w:hAnsi="Times New Roman" w:cs="Times New Roman"/>
          <w:sz w:val="28"/>
          <w:szCs w:val="28"/>
        </w:rPr>
        <w:t>а 95</w:t>
      </w:r>
      <w:r>
        <w:rPr>
          <w:rFonts w:ascii="Times New Roman" w:hAnsi="Times New Roman" w:cs="Times New Roman"/>
          <w:sz w:val="28"/>
          <w:szCs w:val="28"/>
        </w:rPr>
        <w:t xml:space="preserve"> </w:t>
      </w:r>
      <w:r w:rsidRPr="003C2BC0">
        <w:rPr>
          <w:rFonts w:ascii="Times New Roman" w:hAnsi="Times New Roman" w:cs="Times New Roman"/>
          <w:sz w:val="28"/>
          <w:szCs w:val="28"/>
        </w:rPr>
        <w:t>% предприяти</w:t>
      </w:r>
      <w:r>
        <w:rPr>
          <w:rFonts w:ascii="Times New Roman" w:hAnsi="Times New Roman" w:cs="Times New Roman"/>
          <w:sz w:val="28"/>
          <w:szCs w:val="28"/>
        </w:rPr>
        <w:t>й</w:t>
      </w:r>
      <w:r w:rsidRPr="003C2BC0">
        <w:rPr>
          <w:rFonts w:ascii="Times New Roman" w:hAnsi="Times New Roman" w:cs="Times New Roman"/>
          <w:sz w:val="28"/>
          <w:szCs w:val="28"/>
        </w:rPr>
        <w:t>, вовлеченных в национальный проект, прирост производительности труда составит 10%, 15%, 30% нарастающим итогом за первые три года участия в национальном проекте, в том числе за счет успешного тиражирования полученных знаний и опыта обученными сотрудниками предприятий.</w:t>
      </w:r>
    </w:p>
    <w:p w14:paraId="25E3AAAA" w14:textId="77777777"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результате реализации регионального проекта планируется достижение целевых показателей </w:t>
      </w:r>
      <w:r w:rsidR="004D34DF">
        <w:rPr>
          <w:rFonts w:ascii="Times New Roman" w:hAnsi="Times New Roman" w:cs="Times New Roman"/>
          <w:sz w:val="28"/>
          <w:szCs w:val="28"/>
        </w:rPr>
        <w:t>21-33</w:t>
      </w:r>
      <w:r>
        <w:rPr>
          <w:rFonts w:ascii="Times New Roman" w:hAnsi="Times New Roman" w:cs="Times New Roman"/>
          <w:sz w:val="28"/>
          <w:szCs w:val="28"/>
        </w:rPr>
        <w:t xml:space="preserve"> приложения № 1 к настоящей государственной программе.</w:t>
      </w:r>
    </w:p>
    <w:p w14:paraId="2A16FCCC" w14:textId="77777777" w:rsidR="008F5F81" w:rsidRPr="0077776F"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Нереализация регионального проекта может привести к недостижению запланированных целевых показателей проекта.</w:t>
      </w:r>
    </w:p>
    <w:p w14:paraId="4EECEB0F" w14:textId="77777777" w:rsidR="0021081C"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776F">
        <w:rPr>
          <w:rFonts w:ascii="Times New Roman" w:hAnsi="Times New Roman" w:cs="Times New Roman"/>
          <w:sz w:val="28"/>
          <w:szCs w:val="28"/>
        </w:rPr>
        <w:t>Работа органов исполнительной власти области по всем перечисленным направлениям будет способствовать повышению инвестиционной привлекательности Курской области.</w:t>
      </w:r>
    </w:p>
    <w:p w14:paraId="72028D31" w14:textId="77777777" w:rsidR="00D21913" w:rsidRPr="0077776F" w:rsidRDefault="00D21913"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структурных элементов подпрограммы приведен в приложении № 2 к указанной государственной программе.</w:t>
      </w:r>
    </w:p>
    <w:p w14:paraId="66EF7C78" w14:textId="77777777" w:rsidR="00706909" w:rsidRPr="0077776F" w:rsidRDefault="00706909">
      <w:pPr>
        <w:widowControl w:val="0"/>
        <w:autoSpaceDE w:val="0"/>
        <w:autoSpaceDN w:val="0"/>
        <w:adjustRightInd w:val="0"/>
        <w:spacing w:after="0" w:line="240" w:lineRule="auto"/>
        <w:jc w:val="both"/>
        <w:rPr>
          <w:rFonts w:ascii="Times New Roman" w:hAnsi="Times New Roman" w:cs="Times New Roman"/>
          <w:sz w:val="24"/>
          <w:szCs w:val="24"/>
        </w:rPr>
      </w:pPr>
    </w:p>
    <w:p w14:paraId="0C87088C" w14:textId="77777777" w:rsidR="000D5280" w:rsidRPr="0077776F" w:rsidRDefault="0021081C" w:rsidP="000D5280">
      <w:pPr>
        <w:pStyle w:val="ConsPlusNormal"/>
        <w:jc w:val="center"/>
        <w:rPr>
          <w:rFonts w:ascii="Times New Roman" w:eastAsia="Calibri" w:hAnsi="Times New Roman" w:cs="Times New Roman"/>
          <w:b/>
          <w:bCs/>
          <w:sz w:val="28"/>
          <w:szCs w:val="28"/>
        </w:rPr>
      </w:pPr>
      <w:bookmarkStart w:id="10" w:name="Par1668"/>
      <w:bookmarkEnd w:id="10"/>
      <w:r w:rsidRPr="0077776F">
        <w:rPr>
          <w:rFonts w:ascii="Times New Roman" w:hAnsi="Times New Roman" w:cs="Times New Roman"/>
          <w:b/>
          <w:sz w:val="28"/>
          <w:szCs w:val="28"/>
        </w:rPr>
        <w:t xml:space="preserve">Раздел 4. </w:t>
      </w:r>
      <w:r w:rsidR="000D5280" w:rsidRPr="0077776F">
        <w:rPr>
          <w:rFonts w:ascii="Times New Roman" w:hAnsi="Times New Roman" w:cs="Times New Roman"/>
          <w:b/>
          <w:sz w:val="28"/>
          <w:szCs w:val="28"/>
        </w:rPr>
        <w:t>И</w:t>
      </w:r>
      <w:r w:rsidR="000D5280" w:rsidRPr="0077776F">
        <w:rPr>
          <w:rFonts w:ascii="Times New Roman" w:eastAsia="Calibri" w:hAnsi="Times New Roman" w:cs="Times New Roman"/>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14:paraId="335FAD7D" w14:textId="77777777" w:rsidR="000D5280" w:rsidRPr="0077776F" w:rsidRDefault="000D5280" w:rsidP="000D5280">
      <w:pPr>
        <w:pStyle w:val="ConsPlusNormal"/>
        <w:jc w:val="center"/>
        <w:rPr>
          <w:rFonts w:ascii="Times New Roman" w:eastAsia="Calibri" w:hAnsi="Times New Roman" w:cs="Times New Roman"/>
          <w:b/>
          <w:bCs/>
          <w:sz w:val="28"/>
          <w:szCs w:val="28"/>
        </w:rPr>
      </w:pPr>
    </w:p>
    <w:p w14:paraId="788F6AF3" w14:textId="77777777" w:rsidR="000D5280" w:rsidRPr="0077776F" w:rsidRDefault="000D5280" w:rsidP="000D5280">
      <w:pPr>
        <w:pStyle w:val="ConsPlusNormal"/>
        <w:ind w:firstLine="540"/>
        <w:jc w:val="both"/>
        <w:rPr>
          <w:rFonts w:ascii="Times New Roman" w:eastAsia="Calibri" w:hAnsi="Times New Roman" w:cs="Times New Roman"/>
          <w:bCs/>
          <w:sz w:val="28"/>
          <w:szCs w:val="28"/>
        </w:rPr>
      </w:pPr>
      <w:r w:rsidRPr="0077776F">
        <w:rPr>
          <w:rFonts w:ascii="Times New Roman" w:eastAsia="Calibri" w:hAnsi="Times New Roman" w:cs="Times New Roman"/>
          <w:bCs/>
          <w:sz w:val="28"/>
          <w:szCs w:val="28"/>
        </w:rPr>
        <w:t>Реализация инвестиционных проектов за счет средств областного бюджета в рамках подпрограммы не предусматривается.</w:t>
      </w:r>
    </w:p>
    <w:p w14:paraId="3106E49D" w14:textId="77777777" w:rsidR="00B65EC2" w:rsidRPr="0077776F" w:rsidRDefault="00B65EC2" w:rsidP="000D528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14:paraId="707D2A15" w14:textId="77777777" w:rsidR="000D5280" w:rsidRPr="0077776F" w:rsidRDefault="000D5280" w:rsidP="000D5280">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Раздел 5. Характеристика мер государственного регулирования</w:t>
      </w:r>
    </w:p>
    <w:p w14:paraId="0CC459AC" w14:textId="77777777"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14:paraId="63B0E0A4" w14:textId="77777777" w:rsidR="0021081C" w:rsidRPr="0077776F" w:rsidRDefault="005C69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государственного регулирования в сфере реализации подпрограммы не предусматриваются. В то же время в</w:t>
      </w:r>
      <w:r w:rsidR="0021081C" w:rsidRPr="0077776F">
        <w:rPr>
          <w:rFonts w:ascii="Times New Roman" w:hAnsi="Times New Roman" w:cs="Times New Roman"/>
          <w:sz w:val="28"/>
          <w:szCs w:val="28"/>
        </w:rPr>
        <w:t>ыполнение ряда мероприятий подпрограммы впоследствии может привести к необходимости осуществления мер государственного регулирования. Это такие мероприятия, как:</w:t>
      </w:r>
    </w:p>
    <w:p w14:paraId="13A6E685"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соответствии с законодательством Курской области;</w:t>
      </w:r>
    </w:p>
    <w:p w14:paraId="04E64839" w14:textId="77777777"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проведение работы по рассмотрению заявок организаций на предоставление им режима наибольшего благоприятствования; по рассмотрению заявок организаций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 заявок организаций на включение их в реестр участников региональных инвестиционный проектов;</w:t>
      </w:r>
    </w:p>
    <w:p w14:paraId="116D6643" w14:textId="77777777"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организация работы по рассмотрению заявок налогоплательщиков области на предоставление им инвестиционного налогового кредита.</w:t>
      </w:r>
    </w:p>
    <w:p w14:paraId="2CF8CA9E" w14:textId="77777777" w:rsidR="00A131AE" w:rsidRPr="004C249A" w:rsidRDefault="00A131AE" w:rsidP="00A131AE">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 xml:space="preserve">Конкурсные отборы инвестиционных проектов будут проводиться в соответствии с порядком, установленным постановлением Администрации Курской области от 22.07.2011 № 324-па «Об утверждении Порядка предоставления субсидий из областного бюджета инвесторам на возмещение части затрат на уплату процентов по кредитам, привлекаемым в кредитных организациях на реализацию инвестиционных проектов, инвесторам-лизингополучателям на возмещение части затрат на уплату </w:t>
      </w:r>
      <w:r w:rsidRPr="002344D1">
        <w:rPr>
          <w:rFonts w:ascii="Times New Roman" w:hAnsi="Times New Roman" w:cs="Times New Roman"/>
          <w:sz w:val="28"/>
          <w:szCs w:val="28"/>
        </w:rPr>
        <w:lastRenderedPageBreak/>
        <w:t>процентов по кредитам, привлекаемым на уплату лизинговых платежей, или на возмещение лизингополучателю части затрат на уплату лизинговых платежей», их победителям будет предоставляться государственная поддержка в различных формах (государственные гарантии Курской области, по согласованию с комитетом финансов Курской области, в случае высвобождения ранее предоставленных гарантий; государственное имущество Курской области, включенное в залоговый фонд Курской области, по согласованию с комитетом по управлению имуществом Курской области, предоставление субсидий инвесторам, реализующим инвестиционные проекты). В связи с тем, что в настоящее время невозможно точно спланировать форму предоставляемой поддержки, оценить степень влияния на бюджет мер государственного регулирования, которые могут быть осуществлены в результате выполнения данного мероприяти</w:t>
      </w:r>
      <w:r w:rsidR="004C249A" w:rsidRPr="002344D1">
        <w:rPr>
          <w:rFonts w:ascii="Times New Roman" w:hAnsi="Times New Roman" w:cs="Times New Roman"/>
          <w:sz w:val="28"/>
          <w:szCs w:val="28"/>
        </w:rPr>
        <w:t>я, не представляется возможным.</w:t>
      </w:r>
    </w:p>
    <w:p w14:paraId="5F81E4AA" w14:textId="5C458349"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результате проведения работы по рассмотрению заявок организаций области на предоставление им режима наибольшего благоприятствования, в случае принятия положительного решения о предоставлении организации такого режима, также впоследствии могут осуществляться меры государственного регулирования в форме предоставления льготного режима налогообложения по налогу на имущество организаций </w:t>
      </w:r>
      <w:r w:rsidR="0056439A">
        <w:rPr>
          <w:rFonts w:ascii="Times New Roman" w:hAnsi="Times New Roman" w:cs="Times New Roman"/>
          <w:sz w:val="28"/>
          <w:szCs w:val="28"/>
        </w:rPr>
        <w:t>организациям, работающим в режиме наибольшего благоприятствования. В связи с тем, что в настоящее время невозможно определить перечень организаций, которые обратятся в 2014-2025 годах по вопросу предоставления режима наибольшего благоприятствования,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14:paraId="152E42B9" w14:textId="77777777"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Налогоплательщики области могут обратиться с заявкой о предоставлении им инвестиционного налогового кредита. В связи с неопределенностью круга налогоплательщиков, которые могут обратиться с заявками на предоставление им инвестиционного налогового кредита,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14:paraId="2AC27B71" w14:textId="77777777"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Налогоплательщики области могут обратиться с заявкой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w:t>
      </w:r>
      <w:r>
        <w:rPr>
          <w:rFonts w:ascii="Times New Roman" w:hAnsi="Times New Roman" w:cs="Times New Roman"/>
          <w:sz w:val="28"/>
          <w:szCs w:val="28"/>
        </w:rPr>
        <w:t xml:space="preserve"> </w:t>
      </w:r>
      <w:r w:rsidRPr="008B0E2C">
        <w:rPr>
          <w:rFonts w:ascii="Times New Roman" w:hAnsi="Times New Roman" w:cs="Times New Roman"/>
          <w:sz w:val="28"/>
          <w:szCs w:val="28"/>
        </w:rPr>
        <w:t>В связи с неопределенностью круга налогоплательщиков, которые могут обратиться с заявками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14:paraId="0206556D" w14:textId="77777777" w:rsidR="0021081C" w:rsidRPr="0077776F" w:rsidRDefault="000E3733">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5812" w:history="1">
        <w:r w:rsidR="0021081C" w:rsidRPr="0077776F">
          <w:rPr>
            <w:rFonts w:ascii="Times New Roman" w:hAnsi="Times New Roman" w:cs="Times New Roman"/>
            <w:sz w:val="28"/>
            <w:szCs w:val="28"/>
          </w:rPr>
          <w:t>Сведения</w:t>
        </w:r>
      </w:hyperlink>
      <w:r w:rsidR="0021081C" w:rsidRPr="0077776F">
        <w:rPr>
          <w:rFonts w:ascii="Times New Roman" w:hAnsi="Times New Roman" w:cs="Times New Roman"/>
          <w:sz w:val="28"/>
          <w:szCs w:val="28"/>
        </w:rPr>
        <w:t xml:space="preserve"> об основных мерах правового регулирования приведены в приложении </w:t>
      </w:r>
      <w:r w:rsidR="004D7570" w:rsidRPr="0077776F">
        <w:rPr>
          <w:rFonts w:ascii="Times New Roman" w:hAnsi="Times New Roman" w:cs="Times New Roman"/>
          <w:sz w:val="28"/>
          <w:szCs w:val="28"/>
        </w:rPr>
        <w:t>№</w:t>
      </w:r>
      <w:r w:rsidR="0021081C" w:rsidRPr="0077776F">
        <w:rPr>
          <w:rFonts w:ascii="Times New Roman" w:hAnsi="Times New Roman" w:cs="Times New Roman"/>
          <w:sz w:val="28"/>
          <w:szCs w:val="28"/>
        </w:rPr>
        <w:t xml:space="preserve"> 3 к государственной программе.</w:t>
      </w:r>
    </w:p>
    <w:p w14:paraId="4807F2FD" w14:textId="77777777" w:rsidR="00706909" w:rsidRPr="0077776F" w:rsidRDefault="00706909">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1" w:name="Par1679"/>
      <w:bookmarkEnd w:id="11"/>
    </w:p>
    <w:p w14:paraId="7401BD2F" w14:textId="77777777" w:rsidR="0096564D" w:rsidRPr="0077776F" w:rsidRDefault="0021081C"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6</w:t>
      </w:r>
      <w:r w:rsidRPr="0077776F">
        <w:rPr>
          <w:rFonts w:ascii="Times New Roman" w:hAnsi="Times New Roman" w:cs="Times New Roman"/>
          <w:b/>
          <w:sz w:val="28"/>
          <w:szCs w:val="28"/>
        </w:rPr>
        <w:t>. П</w:t>
      </w:r>
      <w:r w:rsidR="00DF7438" w:rsidRPr="0077776F">
        <w:rPr>
          <w:rFonts w:ascii="Times New Roman" w:hAnsi="Times New Roman" w:cs="Times New Roman"/>
          <w:b/>
          <w:sz w:val="28"/>
          <w:szCs w:val="28"/>
        </w:rPr>
        <w:t xml:space="preserve">рогноз сводных показателей государственных заданий </w:t>
      </w:r>
    </w:p>
    <w:p w14:paraId="01C3ACCA" w14:textId="77777777" w:rsidR="0021081C" w:rsidRPr="0077776F" w:rsidRDefault="00DF7438"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по этапам реализации </w:t>
      </w:r>
      <w:r w:rsidR="00766CDB" w:rsidRPr="0077776F">
        <w:rPr>
          <w:rFonts w:ascii="Times New Roman" w:hAnsi="Times New Roman" w:cs="Times New Roman"/>
          <w:b/>
          <w:sz w:val="28"/>
          <w:szCs w:val="28"/>
        </w:rPr>
        <w:t>подпрограммы</w:t>
      </w:r>
    </w:p>
    <w:p w14:paraId="4AC86679" w14:textId="77777777"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14:paraId="0510066E" w14:textId="77777777"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реализации подпрограммы оказание государственных услуг осуществляет автономное учреждение «Корпорация развития Курской области», основной задачей которого является организация сопровождения инвесторов по принципу «одного окна».</w:t>
      </w:r>
    </w:p>
    <w:p w14:paraId="52D3659A" w14:textId="77777777" w:rsidR="004D34DF" w:rsidRPr="008B0E2C" w:rsidRDefault="000E3733" w:rsidP="004D34DF">
      <w:pPr>
        <w:spacing w:after="0" w:line="240" w:lineRule="auto"/>
        <w:ind w:firstLine="709"/>
        <w:jc w:val="both"/>
        <w:rPr>
          <w:rFonts w:ascii="Times New Roman" w:hAnsi="Times New Roman" w:cs="Times New Roman"/>
          <w:sz w:val="28"/>
          <w:szCs w:val="28"/>
        </w:rPr>
      </w:pPr>
      <w:hyperlink r:id="rId14" w:history="1">
        <w:r w:rsidR="004D34DF" w:rsidRPr="008B0E2C">
          <w:rPr>
            <w:rFonts w:ascii="Times New Roman" w:hAnsi="Times New Roman" w:cs="Times New Roman"/>
            <w:sz w:val="28"/>
            <w:szCs w:val="28"/>
          </w:rPr>
          <w:t>Прогноз</w:t>
        </w:r>
      </w:hyperlink>
      <w:r w:rsidR="004D34DF" w:rsidRPr="008B0E2C">
        <w:rPr>
          <w:rFonts w:ascii="Times New Roman" w:hAnsi="Times New Roman" w:cs="Times New Roman"/>
          <w:sz w:val="28"/>
          <w:szCs w:val="28"/>
        </w:rPr>
        <w:t xml:space="preserve"> сводных показателей государственных заданий на оказание государственных услуг областными государственными учреждениями приведен в приложении № 4 к государственной программе.</w:t>
      </w:r>
    </w:p>
    <w:p w14:paraId="12EDB544" w14:textId="77777777" w:rsidR="0021081C" w:rsidRPr="0077776F" w:rsidRDefault="0021081C">
      <w:pPr>
        <w:widowControl w:val="0"/>
        <w:autoSpaceDE w:val="0"/>
        <w:autoSpaceDN w:val="0"/>
        <w:adjustRightInd w:val="0"/>
        <w:spacing w:after="0" w:line="240" w:lineRule="auto"/>
        <w:jc w:val="both"/>
        <w:rPr>
          <w:rFonts w:ascii="Times New Roman" w:hAnsi="Times New Roman" w:cs="Times New Roman"/>
          <w:sz w:val="24"/>
          <w:szCs w:val="24"/>
        </w:rPr>
      </w:pPr>
    </w:p>
    <w:p w14:paraId="444FAFE5" w14:textId="77777777" w:rsidR="00766CDB" w:rsidRPr="0077776F" w:rsidRDefault="0021081C">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12" w:name="Par1686"/>
      <w:bookmarkEnd w:id="12"/>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7</w:t>
      </w:r>
      <w:r w:rsidRPr="0077776F">
        <w:rPr>
          <w:rFonts w:ascii="Times New Roman" w:hAnsi="Times New Roman" w:cs="Times New Roman"/>
          <w:b/>
          <w:sz w:val="28"/>
          <w:szCs w:val="28"/>
        </w:rPr>
        <w:t>. Х</w:t>
      </w:r>
      <w:r w:rsidR="00766CDB" w:rsidRPr="0077776F">
        <w:rPr>
          <w:rFonts w:ascii="Times New Roman" w:hAnsi="Times New Roman" w:cs="Times New Roman"/>
          <w:b/>
          <w:sz w:val="28"/>
          <w:szCs w:val="28"/>
        </w:rPr>
        <w:t xml:space="preserve">арактеристика </w:t>
      </w:r>
      <w:r w:rsidR="00D21913">
        <w:rPr>
          <w:rFonts w:ascii="Times New Roman" w:hAnsi="Times New Roman" w:cs="Times New Roman"/>
          <w:b/>
          <w:sz w:val="28"/>
          <w:szCs w:val="28"/>
        </w:rPr>
        <w:t>структурных элементов подпрограммы</w:t>
      </w:r>
      <w:r w:rsidR="00766CDB" w:rsidRPr="0077776F">
        <w:rPr>
          <w:rFonts w:ascii="Times New Roman" w:hAnsi="Times New Roman" w:cs="Times New Roman"/>
          <w:b/>
          <w:sz w:val="28"/>
          <w:szCs w:val="28"/>
        </w:rPr>
        <w:t>,</w:t>
      </w:r>
    </w:p>
    <w:p w14:paraId="401BB4E4" w14:textId="77777777" w:rsidR="0021081C" w:rsidRPr="0077776F" w:rsidRDefault="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реализуемых муниципальными образованиями Курской области</w:t>
      </w:r>
    </w:p>
    <w:p w14:paraId="01F75A5C" w14:textId="77777777"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14:paraId="0952327F"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Муниципальные образования Курской области не принимают участия в разработке и реализации подпрограммы.</w:t>
      </w:r>
    </w:p>
    <w:p w14:paraId="3167F906" w14:textId="77777777" w:rsidR="00706909" w:rsidRPr="0077776F" w:rsidRDefault="00706909">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3" w:name="Par1691"/>
      <w:bookmarkEnd w:id="13"/>
    </w:p>
    <w:p w14:paraId="7CC91F34" w14:textId="77777777" w:rsidR="0021081C" w:rsidRPr="0077776F" w:rsidRDefault="0021081C" w:rsidP="000D5280">
      <w:pPr>
        <w:pStyle w:val="ConsPlusNormal"/>
        <w:ind w:firstLine="540"/>
        <w:jc w:val="center"/>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8</w:t>
      </w:r>
      <w:r w:rsidRPr="0077776F">
        <w:rPr>
          <w:rFonts w:ascii="Times New Roman" w:hAnsi="Times New Roman" w:cs="Times New Roman"/>
          <w:b/>
          <w:sz w:val="28"/>
          <w:szCs w:val="28"/>
        </w:rPr>
        <w:t>. И</w:t>
      </w:r>
      <w:r w:rsidR="00766CDB" w:rsidRPr="0077776F">
        <w:rPr>
          <w:rFonts w:ascii="Times New Roman" w:hAnsi="Times New Roman" w:cs="Times New Roman"/>
          <w:b/>
          <w:sz w:val="28"/>
          <w:szCs w:val="28"/>
        </w:rPr>
        <w:t xml:space="preserve">нформация об участии предприятий и организаций, </w:t>
      </w:r>
      <w:r w:rsidR="000D5280" w:rsidRPr="0077776F">
        <w:rPr>
          <w:rFonts w:ascii="Times New Roman" w:eastAsia="Calibri" w:hAnsi="Times New Roman" w:cs="Times New Roman"/>
          <w:b/>
          <w:bCs/>
          <w:sz w:val="28"/>
          <w:szCs w:val="28"/>
        </w:rPr>
        <w:t xml:space="preserve">независимо от их организационно-правовых форм и форм собственности, </w:t>
      </w:r>
      <w:r w:rsidR="00766CDB" w:rsidRPr="0077776F">
        <w:rPr>
          <w:rFonts w:ascii="Times New Roman" w:hAnsi="Times New Roman" w:cs="Times New Roman"/>
          <w:b/>
          <w:sz w:val="28"/>
          <w:szCs w:val="28"/>
        </w:rPr>
        <w:t>а также государственных внебюджетных фондов в реализации подпрограммы</w:t>
      </w:r>
    </w:p>
    <w:p w14:paraId="4ABEFC26" w14:textId="77777777" w:rsidR="004D34DF" w:rsidRDefault="004D34DF" w:rsidP="004D34DF">
      <w:pPr>
        <w:spacing w:after="0" w:line="240" w:lineRule="auto"/>
        <w:ind w:firstLine="709"/>
        <w:jc w:val="both"/>
        <w:rPr>
          <w:rFonts w:ascii="Times New Roman" w:hAnsi="Times New Roman" w:cs="Times New Roman"/>
          <w:sz w:val="28"/>
          <w:szCs w:val="28"/>
        </w:rPr>
      </w:pPr>
      <w:bookmarkStart w:id="14" w:name="Par1711"/>
      <w:bookmarkStart w:id="15" w:name="Par1719"/>
      <w:bookmarkEnd w:id="14"/>
      <w:bookmarkEnd w:id="15"/>
    </w:p>
    <w:p w14:paraId="1BDC0F67" w14:textId="77777777"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Мероприятия подпрограммы планируется реализовывать с участием АО «Корпорация развития Курской области».</w:t>
      </w:r>
    </w:p>
    <w:p w14:paraId="6447B4D6" w14:textId="77777777"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Основными целями и задачами Корпорации являются:</w:t>
      </w:r>
    </w:p>
    <w:p w14:paraId="2DF16E74" w14:textId="77777777"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оказание содействия органам государственной власти в реализации инвестиционной политики на территории Курской области;</w:t>
      </w:r>
    </w:p>
    <w:p w14:paraId="22272385" w14:textId="77777777"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содействие привлечению инвестиций в экономику области;</w:t>
      </w:r>
    </w:p>
    <w:p w14:paraId="528A74D1" w14:textId="77777777"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поиск потенциальных инвестиционных возможностей на территории области;</w:t>
      </w:r>
    </w:p>
    <w:p w14:paraId="24B0450D" w14:textId="77777777"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поиск внешних инвесторов;</w:t>
      </w:r>
    </w:p>
    <w:p w14:paraId="1955D65F" w14:textId="77777777"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формирование и развитие индустриальных парков и инвестиционных площадок на территории Курской области, развитие особой экономической зоны;</w:t>
      </w:r>
    </w:p>
    <w:p w14:paraId="0D0DBB67" w14:textId="77777777"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содействие инвесторам и органам государственной власти в организации финансирования инфраструктурных проектов;</w:t>
      </w:r>
    </w:p>
    <w:p w14:paraId="62DB1D6E" w14:textId="77777777"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стимулирование инвестиционной и инновационной деятельности с целью комплексного социально-экономического развития Курской области;</w:t>
      </w:r>
    </w:p>
    <w:p w14:paraId="0B04FBF3" w14:textId="77777777"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 xml:space="preserve">информационно-консультативное обеспечение инвесторов на всех этапах реализации проекта: от подготовки бизнес-плана до ввода в эксплуатацию вновь построенных объектов (комплексное сопровождение и мониторинг инвестиционных проектов (инвесторов) по принципу «одного </w:t>
      </w:r>
      <w:r w:rsidRPr="002344D1">
        <w:rPr>
          <w:rFonts w:ascii="Times New Roman" w:hAnsi="Times New Roman" w:cs="Times New Roman"/>
          <w:sz w:val="28"/>
          <w:szCs w:val="28"/>
        </w:rPr>
        <w:lastRenderedPageBreak/>
        <w:t>окна»);</w:t>
      </w:r>
    </w:p>
    <w:p w14:paraId="59425DD6" w14:textId="77777777"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проведение исследования конъюнктуры рынка инвестиций;</w:t>
      </w:r>
    </w:p>
    <w:p w14:paraId="6216BC4C" w14:textId="77777777"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предоставление информационной и консультационной поддержки субъектам инвестиционной деятельности;</w:t>
      </w:r>
    </w:p>
    <w:p w14:paraId="1D429C7C" w14:textId="77777777" w:rsidR="004C249A" w:rsidRPr="002344D1" w:rsidRDefault="004C249A" w:rsidP="004C249A">
      <w:pPr>
        <w:autoSpaceDE w:val="0"/>
        <w:autoSpaceDN w:val="0"/>
        <w:adjustRightInd w:val="0"/>
        <w:spacing w:after="0" w:line="240" w:lineRule="auto"/>
        <w:ind w:firstLine="709"/>
        <w:jc w:val="both"/>
        <w:rPr>
          <w:rFonts w:ascii="Times New Roman" w:hAnsi="Times New Roman" w:cs="Times New Roman"/>
          <w:sz w:val="28"/>
          <w:szCs w:val="28"/>
        </w:rPr>
      </w:pPr>
      <w:r w:rsidRPr="002344D1">
        <w:rPr>
          <w:rFonts w:ascii="Times New Roman" w:hAnsi="Times New Roman" w:cs="Times New Roman"/>
          <w:sz w:val="28"/>
          <w:szCs w:val="28"/>
        </w:rPr>
        <w:t>распространение информации об инвестиционн</w:t>
      </w:r>
      <w:r w:rsidR="00854D19" w:rsidRPr="002344D1">
        <w:rPr>
          <w:rFonts w:ascii="Times New Roman" w:hAnsi="Times New Roman" w:cs="Times New Roman"/>
          <w:sz w:val="28"/>
          <w:szCs w:val="28"/>
        </w:rPr>
        <w:t>ом потенциале Курской области.</w:t>
      </w:r>
    </w:p>
    <w:p w14:paraId="1F79F19A" w14:textId="77777777" w:rsidR="004D34DF" w:rsidRPr="008B0E2C" w:rsidRDefault="004D34DF" w:rsidP="004D34DF">
      <w:pPr>
        <w:spacing w:after="0" w:line="240" w:lineRule="auto"/>
        <w:ind w:firstLine="709"/>
        <w:jc w:val="both"/>
        <w:rPr>
          <w:rFonts w:ascii="Times New Roman" w:hAnsi="Times New Roman" w:cs="Times New Roman"/>
          <w:sz w:val="28"/>
          <w:szCs w:val="28"/>
        </w:rPr>
      </w:pPr>
    </w:p>
    <w:p w14:paraId="24366F66" w14:textId="77777777"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8F5F81">
        <w:rPr>
          <w:rFonts w:ascii="Times New Roman" w:hAnsi="Times New Roman" w:cs="Times New Roman"/>
          <w:b/>
          <w:sz w:val="28"/>
          <w:szCs w:val="28"/>
        </w:rPr>
        <w:t>Раздел 9. Обоснование объема финансовых ресурсов,</w:t>
      </w:r>
    </w:p>
    <w:p w14:paraId="575C5659" w14:textId="77777777"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8F5F81">
        <w:rPr>
          <w:rFonts w:ascii="Times New Roman" w:hAnsi="Times New Roman" w:cs="Times New Roman"/>
          <w:b/>
          <w:sz w:val="28"/>
          <w:szCs w:val="28"/>
        </w:rPr>
        <w:t>необходимых для реализации подпрограммы</w:t>
      </w:r>
    </w:p>
    <w:p w14:paraId="0C697A50" w14:textId="77777777"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14:paraId="45860AB5"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подпрограммы осуществляется за счет средств областного бюджета.</w:t>
      </w:r>
    </w:p>
    <w:p w14:paraId="42558BB5" w14:textId="33DA6A06"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 за счет средств областного бюджета на реализацию мероприятий подпрограммы в 2014 - 202</w:t>
      </w:r>
      <w:r w:rsidR="000E3733">
        <w:rPr>
          <w:rFonts w:ascii="Times New Roman" w:hAnsi="Times New Roman" w:cs="Times New Roman"/>
          <w:sz w:val="28"/>
          <w:szCs w:val="28"/>
        </w:rPr>
        <w:t>5</w:t>
      </w:r>
      <w:r>
        <w:rPr>
          <w:rFonts w:ascii="Times New Roman" w:hAnsi="Times New Roman" w:cs="Times New Roman"/>
          <w:sz w:val="28"/>
          <w:szCs w:val="28"/>
        </w:rPr>
        <w:t xml:space="preserve"> годах составляет </w:t>
      </w:r>
      <w:r w:rsidR="00854D19" w:rsidRPr="002344D1">
        <w:rPr>
          <w:rFonts w:ascii="Times New Roman" w:hAnsi="Times New Roman" w:cs="Times New Roman"/>
          <w:sz w:val="28"/>
          <w:szCs w:val="28"/>
        </w:rPr>
        <w:t>1 7</w:t>
      </w:r>
      <w:r w:rsidR="000E3733">
        <w:rPr>
          <w:rFonts w:ascii="Times New Roman" w:hAnsi="Times New Roman" w:cs="Times New Roman"/>
          <w:sz w:val="28"/>
          <w:szCs w:val="28"/>
        </w:rPr>
        <w:t>64</w:t>
      </w:r>
      <w:r w:rsidR="00854D19" w:rsidRPr="002344D1">
        <w:rPr>
          <w:rFonts w:ascii="Times New Roman" w:hAnsi="Times New Roman" w:cs="Times New Roman"/>
          <w:sz w:val="28"/>
          <w:szCs w:val="28"/>
        </w:rPr>
        <w:t> </w:t>
      </w:r>
      <w:r w:rsidR="000E3733">
        <w:rPr>
          <w:rFonts w:ascii="Times New Roman" w:hAnsi="Times New Roman" w:cs="Times New Roman"/>
          <w:sz w:val="28"/>
          <w:szCs w:val="28"/>
        </w:rPr>
        <w:t>545</w:t>
      </w:r>
      <w:r w:rsidR="00854D19" w:rsidRPr="002344D1">
        <w:rPr>
          <w:rFonts w:ascii="Times New Roman" w:hAnsi="Times New Roman" w:cs="Times New Roman"/>
          <w:sz w:val="28"/>
          <w:szCs w:val="28"/>
        </w:rPr>
        <w:t>,</w:t>
      </w:r>
      <w:r w:rsidR="000E3733">
        <w:rPr>
          <w:rFonts w:ascii="Times New Roman" w:hAnsi="Times New Roman" w:cs="Times New Roman"/>
          <w:sz w:val="28"/>
          <w:szCs w:val="28"/>
        </w:rPr>
        <w:t>76</w:t>
      </w:r>
      <w:r w:rsidR="00854D19" w:rsidRPr="002344D1">
        <w:rPr>
          <w:rFonts w:ascii="Times New Roman" w:hAnsi="Times New Roman" w:cs="Times New Roman"/>
          <w:sz w:val="28"/>
          <w:szCs w:val="28"/>
        </w:rPr>
        <w:t>3</w:t>
      </w:r>
      <w:r>
        <w:rPr>
          <w:rFonts w:ascii="Times New Roman" w:hAnsi="Times New Roman" w:cs="Times New Roman"/>
          <w:sz w:val="28"/>
          <w:szCs w:val="28"/>
        </w:rPr>
        <w:t xml:space="preserve"> тыс. рублей, в том числе по годам:</w:t>
      </w:r>
    </w:p>
    <w:p w14:paraId="66DD834E"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2014 год – 22 001,688 тыс. рублей;</w:t>
      </w:r>
    </w:p>
    <w:p w14:paraId="5B033E65"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2015 год – 10 261,735 тыс. рублей;</w:t>
      </w:r>
    </w:p>
    <w:p w14:paraId="267D9A96"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2016 год – 20 164,771 тыс. рублей;</w:t>
      </w:r>
    </w:p>
    <w:p w14:paraId="3BA02391"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2017 год – 19 255,393 тыс. рублей;</w:t>
      </w:r>
    </w:p>
    <w:p w14:paraId="09813890"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2018 год – 27 088,259 тыс. рублей;</w:t>
      </w:r>
    </w:p>
    <w:p w14:paraId="3D639958"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2019 год – 30 028,217 тыс. рублей;</w:t>
      </w:r>
    </w:p>
    <w:p w14:paraId="30FEA52E"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A77A40">
        <w:rPr>
          <w:rFonts w:ascii="Times New Roman" w:hAnsi="Times New Roman" w:cs="Times New Roman"/>
          <w:sz w:val="28"/>
          <w:szCs w:val="28"/>
        </w:rPr>
        <w:t>102 051,298</w:t>
      </w:r>
      <w:r>
        <w:rPr>
          <w:rFonts w:ascii="Times New Roman" w:hAnsi="Times New Roman" w:cs="Times New Roman"/>
          <w:sz w:val="28"/>
          <w:szCs w:val="28"/>
        </w:rPr>
        <w:t xml:space="preserve"> тыс. рублей;</w:t>
      </w:r>
    </w:p>
    <w:p w14:paraId="341391E1"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9441AA">
        <w:rPr>
          <w:rFonts w:ascii="Times New Roman" w:hAnsi="Times New Roman" w:cs="Times New Roman"/>
          <w:sz w:val="28"/>
          <w:szCs w:val="28"/>
        </w:rPr>
        <w:t>44 582,947</w:t>
      </w:r>
      <w:r>
        <w:rPr>
          <w:rFonts w:ascii="Times New Roman" w:hAnsi="Times New Roman" w:cs="Times New Roman"/>
          <w:sz w:val="28"/>
          <w:szCs w:val="28"/>
        </w:rPr>
        <w:t xml:space="preserve"> тыс. рублей;</w:t>
      </w:r>
    </w:p>
    <w:p w14:paraId="6DD0391B"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54D19" w:rsidRPr="002344D1">
        <w:rPr>
          <w:rFonts w:ascii="Times New Roman" w:hAnsi="Times New Roman" w:cs="Times New Roman"/>
          <w:sz w:val="28"/>
          <w:szCs w:val="28"/>
        </w:rPr>
        <w:t>1 353 327,215</w:t>
      </w:r>
      <w:r>
        <w:rPr>
          <w:rFonts w:ascii="Times New Roman" w:hAnsi="Times New Roman" w:cs="Times New Roman"/>
          <w:sz w:val="28"/>
          <w:szCs w:val="28"/>
        </w:rPr>
        <w:t xml:space="preserve"> тыс. рублей;</w:t>
      </w:r>
    </w:p>
    <w:p w14:paraId="682BAEE0"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8A3491">
        <w:rPr>
          <w:rFonts w:ascii="Times New Roman" w:hAnsi="Times New Roman" w:cs="Times New Roman"/>
          <w:sz w:val="28"/>
          <w:szCs w:val="28"/>
        </w:rPr>
        <w:t>4</w:t>
      </w:r>
      <w:r w:rsidR="00D5434C">
        <w:rPr>
          <w:rFonts w:ascii="Times New Roman" w:hAnsi="Times New Roman" w:cs="Times New Roman"/>
          <w:sz w:val="28"/>
          <w:szCs w:val="28"/>
        </w:rPr>
        <w:t>5 268,080</w:t>
      </w:r>
      <w:r>
        <w:rPr>
          <w:rFonts w:ascii="Times New Roman" w:hAnsi="Times New Roman" w:cs="Times New Roman"/>
          <w:sz w:val="28"/>
          <w:szCs w:val="28"/>
        </w:rPr>
        <w:t xml:space="preserve"> тыс. рублей;</w:t>
      </w:r>
    </w:p>
    <w:p w14:paraId="6EE0C122" w14:textId="082E2B2A"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2024 год – 4</w:t>
      </w:r>
      <w:r w:rsidR="00D5434C">
        <w:rPr>
          <w:rFonts w:ascii="Times New Roman" w:hAnsi="Times New Roman" w:cs="Times New Roman"/>
          <w:sz w:val="28"/>
          <w:szCs w:val="28"/>
        </w:rPr>
        <w:t>5 258,080</w:t>
      </w:r>
      <w:r>
        <w:rPr>
          <w:rFonts w:ascii="Times New Roman" w:hAnsi="Times New Roman" w:cs="Times New Roman"/>
          <w:sz w:val="28"/>
          <w:szCs w:val="28"/>
        </w:rPr>
        <w:t xml:space="preserve"> тыс. рублей</w:t>
      </w:r>
      <w:r w:rsidR="000E3733">
        <w:rPr>
          <w:rFonts w:ascii="Times New Roman" w:hAnsi="Times New Roman" w:cs="Times New Roman"/>
          <w:sz w:val="28"/>
          <w:szCs w:val="28"/>
        </w:rPr>
        <w:t>;</w:t>
      </w:r>
    </w:p>
    <w:p w14:paraId="6E3AA4B4" w14:textId="0D586152" w:rsidR="000E3733" w:rsidRDefault="000E3733"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2025 год – 45 258,080 тыс. рублей,</w:t>
      </w:r>
    </w:p>
    <w:p w14:paraId="3F5E158F" w14:textId="77777777"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из них:</w:t>
      </w:r>
    </w:p>
    <w:p w14:paraId="176DF17C" w14:textId="6F1F5A95"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 xml:space="preserve">средства областного бюджета – </w:t>
      </w:r>
      <w:r w:rsidR="00854D19" w:rsidRPr="002344D1">
        <w:rPr>
          <w:rFonts w:ascii="Times New Roman" w:hAnsi="Times New Roman" w:cs="Times New Roman"/>
          <w:sz w:val="28"/>
          <w:szCs w:val="28"/>
        </w:rPr>
        <w:t>1 </w:t>
      </w:r>
      <w:r w:rsidR="000E3733">
        <w:rPr>
          <w:rFonts w:ascii="Times New Roman" w:hAnsi="Times New Roman" w:cs="Times New Roman"/>
          <w:sz w:val="28"/>
          <w:szCs w:val="28"/>
        </w:rPr>
        <w:t>649</w:t>
      </w:r>
      <w:r w:rsidR="00854D19" w:rsidRPr="002344D1">
        <w:rPr>
          <w:rFonts w:ascii="Times New Roman" w:hAnsi="Times New Roman" w:cs="Times New Roman"/>
          <w:sz w:val="28"/>
          <w:szCs w:val="28"/>
        </w:rPr>
        <w:t> </w:t>
      </w:r>
      <w:r w:rsidR="000E3733">
        <w:rPr>
          <w:rFonts w:ascii="Times New Roman" w:hAnsi="Times New Roman" w:cs="Times New Roman"/>
          <w:sz w:val="28"/>
          <w:szCs w:val="28"/>
        </w:rPr>
        <w:t>507</w:t>
      </w:r>
      <w:r w:rsidR="00854D19" w:rsidRPr="002344D1">
        <w:rPr>
          <w:rFonts w:ascii="Times New Roman" w:hAnsi="Times New Roman" w:cs="Times New Roman"/>
          <w:sz w:val="28"/>
          <w:szCs w:val="28"/>
        </w:rPr>
        <w:t>,1</w:t>
      </w:r>
      <w:r w:rsidR="000E3733">
        <w:rPr>
          <w:rFonts w:ascii="Times New Roman" w:hAnsi="Times New Roman" w:cs="Times New Roman"/>
          <w:sz w:val="28"/>
          <w:szCs w:val="28"/>
        </w:rPr>
        <w:t>6</w:t>
      </w:r>
      <w:r w:rsidR="00854D19" w:rsidRPr="002344D1">
        <w:rPr>
          <w:rFonts w:ascii="Times New Roman" w:hAnsi="Times New Roman" w:cs="Times New Roman"/>
          <w:sz w:val="28"/>
          <w:szCs w:val="28"/>
        </w:rPr>
        <w:t>3</w:t>
      </w:r>
      <w:r w:rsidRPr="008F5F81">
        <w:rPr>
          <w:rFonts w:ascii="Times New Roman" w:hAnsi="Times New Roman" w:cs="Times New Roman"/>
          <w:sz w:val="28"/>
          <w:szCs w:val="28"/>
        </w:rPr>
        <w:t xml:space="preserve"> тыс. рублей, в том числе по годам:</w:t>
      </w:r>
    </w:p>
    <w:p w14:paraId="6FD5D00D"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2014 год – 22 001,688 тыс. рублей;</w:t>
      </w:r>
    </w:p>
    <w:p w14:paraId="789B70CA"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2015 год – 10 261,735 тыс. рублей;</w:t>
      </w:r>
    </w:p>
    <w:p w14:paraId="7E42EF23"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2016 год – 20 164,771 тыс. рублей;</w:t>
      </w:r>
    </w:p>
    <w:p w14:paraId="68DD185C"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2017 год – 19 255,393 тыс. рублей;</w:t>
      </w:r>
    </w:p>
    <w:p w14:paraId="04FC6B00"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2018 год – 27 088,259 тыс. рублей;</w:t>
      </w:r>
    </w:p>
    <w:p w14:paraId="62A18FDA"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2019 год – 30 028,217 тыс. рублей;</w:t>
      </w:r>
    </w:p>
    <w:p w14:paraId="6B188884"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A77A40">
        <w:rPr>
          <w:rFonts w:ascii="Times New Roman" w:hAnsi="Times New Roman" w:cs="Times New Roman"/>
          <w:sz w:val="28"/>
          <w:szCs w:val="28"/>
        </w:rPr>
        <w:t>92 154,798</w:t>
      </w:r>
      <w:r>
        <w:rPr>
          <w:rFonts w:ascii="Times New Roman" w:hAnsi="Times New Roman" w:cs="Times New Roman"/>
          <w:sz w:val="28"/>
          <w:szCs w:val="28"/>
        </w:rPr>
        <w:t xml:space="preserve"> тыс. рублей;</w:t>
      </w:r>
    </w:p>
    <w:p w14:paraId="273A267E"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9441AA">
        <w:rPr>
          <w:rFonts w:ascii="Times New Roman" w:hAnsi="Times New Roman" w:cs="Times New Roman"/>
          <w:sz w:val="28"/>
          <w:szCs w:val="28"/>
        </w:rPr>
        <w:t>30 873,247</w:t>
      </w:r>
      <w:r>
        <w:rPr>
          <w:rFonts w:ascii="Times New Roman" w:hAnsi="Times New Roman" w:cs="Times New Roman"/>
          <w:sz w:val="28"/>
          <w:szCs w:val="28"/>
        </w:rPr>
        <w:t xml:space="preserve"> тыс. рублей;</w:t>
      </w:r>
    </w:p>
    <w:p w14:paraId="7CE37108"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54D19" w:rsidRPr="002344D1">
        <w:rPr>
          <w:rFonts w:ascii="Times New Roman" w:hAnsi="Times New Roman" w:cs="Times New Roman"/>
          <w:sz w:val="28"/>
          <w:szCs w:val="28"/>
        </w:rPr>
        <w:t>1 333 887,115</w:t>
      </w:r>
      <w:r>
        <w:rPr>
          <w:rFonts w:ascii="Times New Roman" w:hAnsi="Times New Roman" w:cs="Times New Roman"/>
          <w:sz w:val="28"/>
          <w:szCs w:val="28"/>
        </w:rPr>
        <w:t xml:space="preserve"> тыс. рублей;</w:t>
      </w:r>
    </w:p>
    <w:p w14:paraId="3C744820"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8A3491">
        <w:rPr>
          <w:rFonts w:ascii="Times New Roman" w:hAnsi="Times New Roman" w:cs="Times New Roman"/>
          <w:sz w:val="28"/>
          <w:szCs w:val="28"/>
        </w:rPr>
        <w:t>2</w:t>
      </w:r>
      <w:r w:rsidR="00D5434C">
        <w:rPr>
          <w:rFonts w:ascii="Times New Roman" w:hAnsi="Times New Roman" w:cs="Times New Roman"/>
          <w:sz w:val="28"/>
          <w:szCs w:val="28"/>
        </w:rPr>
        <w:t>1 263,980</w:t>
      </w:r>
      <w:r w:rsidR="004D34DF">
        <w:rPr>
          <w:rFonts w:ascii="Times New Roman" w:hAnsi="Times New Roman" w:cs="Times New Roman"/>
          <w:sz w:val="28"/>
          <w:szCs w:val="28"/>
        </w:rPr>
        <w:t xml:space="preserve"> </w:t>
      </w:r>
      <w:r>
        <w:rPr>
          <w:rFonts w:ascii="Times New Roman" w:hAnsi="Times New Roman" w:cs="Times New Roman"/>
          <w:sz w:val="28"/>
          <w:szCs w:val="28"/>
        </w:rPr>
        <w:t>тыс. рублей;</w:t>
      </w:r>
    </w:p>
    <w:p w14:paraId="53FFD628" w14:textId="24867CA2"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D5434C">
        <w:rPr>
          <w:rFonts w:ascii="Times New Roman" w:hAnsi="Times New Roman" w:cs="Times New Roman"/>
          <w:sz w:val="28"/>
          <w:szCs w:val="28"/>
        </w:rPr>
        <w:t>21 263,980</w:t>
      </w:r>
      <w:r>
        <w:rPr>
          <w:rFonts w:ascii="Times New Roman" w:hAnsi="Times New Roman" w:cs="Times New Roman"/>
          <w:sz w:val="28"/>
          <w:szCs w:val="28"/>
        </w:rPr>
        <w:t xml:space="preserve"> тыс. рублей</w:t>
      </w:r>
      <w:r w:rsidR="000E3733">
        <w:rPr>
          <w:rFonts w:ascii="Times New Roman" w:hAnsi="Times New Roman" w:cs="Times New Roman"/>
          <w:sz w:val="28"/>
          <w:szCs w:val="28"/>
        </w:rPr>
        <w:t>;</w:t>
      </w:r>
    </w:p>
    <w:p w14:paraId="56682B7E" w14:textId="5805D56A" w:rsidR="000E3733" w:rsidRDefault="000E3733"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2025 год – 21 263,980 тыс. рублей,</w:t>
      </w:r>
    </w:p>
    <w:p w14:paraId="18C790E7" w14:textId="31AB451B"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 xml:space="preserve">средства федерального бюджета, предоставленные бюджету Курской области, - </w:t>
      </w:r>
      <w:r w:rsidR="000E3733">
        <w:rPr>
          <w:rFonts w:ascii="Times New Roman" w:hAnsi="Times New Roman" w:cs="Times New Roman"/>
          <w:sz w:val="28"/>
          <w:szCs w:val="28"/>
        </w:rPr>
        <w:t>115 038,600</w:t>
      </w:r>
      <w:r w:rsidRPr="008F5F81">
        <w:rPr>
          <w:rFonts w:ascii="Times New Roman" w:hAnsi="Times New Roman" w:cs="Times New Roman"/>
          <w:sz w:val="28"/>
          <w:szCs w:val="28"/>
        </w:rPr>
        <w:t xml:space="preserve"> тыс. рублей, в том числе по годам:</w:t>
      </w:r>
    </w:p>
    <w:p w14:paraId="3B0EB5A0" w14:textId="77777777" w:rsidR="008F5F81" w:rsidRPr="006A7B08"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lastRenderedPageBreak/>
        <w:t>20</w:t>
      </w:r>
      <w:r>
        <w:rPr>
          <w:rFonts w:ascii="Times New Roman" w:hAnsi="Times New Roman" w:cs="Times New Roman"/>
          <w:sz w:val="28"/>
          <w:szCs w:val="28"/>
        </w:rPr>
        <w:t>20</w:t>
      </w:r>
      <w:r w:rsidRPr="006A7B08">
        <w:rPr>
          <w:rFonts w:ascii="Times New Roman" w:hAnsi="Times New Roman" w:cs="Times New Roman"/>
          <w:sz w:val="28"/>
          <w:szCs w:val="28"/>
        </w:rPr>
        <w:t xml:space="preserve"> год – </w:t>
      </w:r>
      <w:r>
        <w:rPr>
          <w:rFonts w:ascii="Times New Roman" w:hAnsi="Times New Roman" w:cs="Times New Roman"/>
          <w:sz w:val="28"/>
          <w:szCs w:val="28"/>
        </w:rPr>
        <w:t>9 896,500</w:t>
      </w:r>
      <w:r w:rsidRPr="006A7B08">
        <w:rPr>
          <w:rFonts w:ascii="Times New Roman" w:hAnsi="Times New Roman" w:cs="Times New Roman"/>
          <w:sz w:val="28"/>
          <w:szCs w:val="28"/>
        </w:rPr>
        <w:t xml:space="preserve"> тыс. рублей;</w:t>
      </w:r>
    </w:p>
    <w:p w14:paraId="3E5A8E72" w14:textId="77777777" w:rsidR="008F5F81" w:rsidRPr="006A7B08"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21</w:t>
      </w:r>
      <w:r w:rsidRPr="006A7B08">
        <w:rPr>
          <w:rFonts w:ascii="Times New Roman" w:hAnsi="Times New Roman" w:cs="Times New Roman"/>
          <w:sz w:val="28"/>
          <w:szCs w:val="28"/>
        </w:rPr>
        <w:t xml:space="preserve"> год – 1</w:t>
      </w:r>
      <w:r w:rsidR="004D34DF">
        <w:rPr>
          <w:rFonts w:ascii="Times New Roman" w:hAnsi="Times New Roman" w:cs="Times New Roman"/>
          <w:sz w:val="28"/>
          <w:szCs w:val="28"/>
        </w:rPr>
        <w:t>3 709,700</w:t>
      </w:r>
      <w:r w:rsidRPr="006A7B08">
        <w:rPr>
          <w:rFonts w:ascii="Times New Roman" w:hAnsi="Times New Roman" w:cs="Times New Roman"/>
          <w:sz w:val="28"/>
          <w:szCs w:val="28"/>
        </w:rPr>
        <w:t xml:space="preserve"> тыс. рублей;</w:t>
      </w:r>
    </w:p>
    <w:p w14:paraId="331784A8" w14:textId="77777777" w:rsidR="004D34DF"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22</w:t>
      </w:r>
      <w:r w:rsidRPr="006A7B08">
        <w:rPr>
          <w:rFonts w:ascii="Times New Roman" w:hAnsi="Times New Roman" w:cs="Times New Roman"/>
          <w:sz w:val="28"/>
          <w:szCs w:val="28"/>
        </w:rPr>
        <w:t xml:space="preserve"> год – </w:t>
      </w:r>
      <w:r w:rsidR="004D34DF">
        <w:rPr>
          <w:rFonts w:ascii="Times New Roman" w:hAnsi="Times New Roman" w:cs="Times New Roman"/>
          <w:sz w:val="28"/>
          <w:szCs w:val="28"/>
        </w:rPr>
        <w:t>19 440,100</w:t>
      </w:r>
      <w:r w:rsidRPr="006A7B08">
        <w:rPr>
          <w:rFonts w:ascii="Times New Roman" w:hAnsi="Times New Roman" w:cs="Times New Roman"/>
          <w:sz w:val="28"/>
          <w:szCs w:val="28"/>
        </w:rPr>
        <w:t xml:space="preserve"> тыс. рублей</w:t>
      </w:r>
      <w:r w:rsidR="004D34DF">
        <w:rPr>
          <w:rFonts w:ascii="Times New Roman" w:hAnsi="Times New Roman" w:cs="Times New Roman"/>
          <w:sz w:val="28"/>
          <w:szCs w:val="28"/>
        </w:rPr>
        <w:t>.</w:t>
      </w:r>
    </w:p>
    <w:p w14:paraId="2848E152" w14:textId="77777777" w:rsidR="00D5434C" w:rsidRDefault="004D34DF"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2023 год – 24</w:t>
      </w:r>
      <w:r w:rsidR="00D5434C">
        <w:rPr>
          <w:rFonts w:ascii="Times New Roman" w:hAnsi="Times New Roman" w:cs="Times New Roman"/>
          <w:sz w:val="28"/>
          <w:szCs w:val="28"/>
        </w:rPr>
        <w:t> </w:t>
      </w:r>
      <w:r>
        <w:rPr>
          <w:rFonts w:ascii="Times New Roman" w:hAnsi="Times New Roman" w:cs="Times New Roman"/>
          <w:sz w:val="28"/>
          <w:szCs w:val="28"/>
        </w:rPr>
        <w:t>0</w:t>
      </w:r>
      <w:r w:rsidR="00D5434C">
        <w:rPr>
          <w:rFonts w:ascii="Times New Roman" w:hAnsi="Times New Roman" w:cs="Times New Roman"/>
          <w:sz w:val="28"/>
          <w:szCs w:val="28"/>
        </w:rPr>
        <w:t>04,100</w:t>
      </w:r>
      <w:r>
        <w:rPr>
          <w:rFonts w:ascii="Times New Roman" w:hAnsi="Times New Roman" w:cs="Times New Roman"/>
          <w:sz w:val="28"/>
          <w:szCs w:val="28"/>
        </w:rPr>
        <w:t xml:space="preserve"> тыс. рублей</w:t>
      </w:r>
      <w:r w:rsidR="00D5434C">
        <w:rPr>
          <w:rFonts w:ascii="Times New Roman" w:hAnsi="Times New Roman" w:cs="Times New Roman"/>
          <w:sz w:val="28"/>
          <w:szCs w:val="28"/>
        </w:rPr>
        <w:t>;</w:t>
      </w:r>
    </w:p>
    <w:p w14:paraId="0EF8DAC9" w14:textId="77777777" w:rsidR="004D34DF" w:rsidRPr="006A7B08" w:rsidRDefault="00D5434C"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2024 год – 23 994,100 тыс. рублей.</w:t>
      </w:r>
    </w:p>
    <w:p w14:paraId="7BEE1C3F"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Объемы финансирования настоящей подпрограммы подлежат ежегодной корректировке при формировании и утверждении бюджета Курской области на соответствующий год.</w:t>
      </w:r>
    </w:p>
    <w:p w14:paraId="78BE84CF" w14:textId="77777777"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FF9F701" w14:textId="77777777" w:rsidR="0021081C" w:rsidRPr="0077776F" w:rsidRDefault="0021081C"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10</w:t>
      </w:r>
      <w:r w:rsidRPr="0077776F">
        <w:rPr>
          <w:rFonts w:ascii="Times New Roman" w:hAnsi="Times New Roman" w:cs="Times New Roman"/>
          <w:b/>
          <w:sz w:val="28"/>
          <w:szCs w:val="28"/>
        </w:rPr>
        <w:t>. А</w:t>
      </w:r>
      <w:r w:rsidR="00766CDB" w:rsidRPr="0077776F">
        <w:rPr>
          <w:rFonts w:ascii="Times New Roman" w:hAnsi="Times New Roman" w:cs="Times New Roman"/>
          <w:b/>
          <w:sz w:val="28"/>
          <w:szCs w:val="28"/>
        </w:rPr>
        <w:t>нализ рисков реализации подпрограммы и описание мер управления рисками реализации подпрограммы</w:t>
      </w:r>
    </w:p>
    <w:p w14:paraId="7385BA4D" w14:textId="77777777" w:rsidR="0021081C" w:rsidRPr="0077776F" w:rsidRDefault="0021081C">
      <w:pPr>
        <w:widowControl w:val="0"/>
        <w:autoSpaceDE w:val="0"/>
        <w:autoSpaceDN w:val="0"/>
        <w:adjustRightInd w:val="0"/>
        <w:spacing w:after="0" w:line="240" w:lineRule="auto"/>
        <w:jc w:val="both"/>
        <w:rPr>
          <w:rFonts w:ascii="Times New Roman" w:hAnsi="Times New Roman" w:cs="Times New Roman"/>
          <w:b/>
          <w:sz w:val="28"/>
          <w:szCs w:val="28"/>
        </w:rPr>
      </w:pPr>
    </w:p>
    <w:p w14:paraId="6C490D1D"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Основные риски при реализации подпрограммы могут быть рисками внутреннего характера и рисками, обусловленными действием внешних факторов.</w:t>
      </w:r>
    </w:p>
    <w:p w14:paraId="4988F62A"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1. Внутренние риски:</w:t>
      </w:r>
    </w:p>
    <w:p w14:paraId="26588100"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неэффективное и неполное использование субъектами предпринимательства, осуществляющими деятельность на территории Курской области, возможностей, предоставляемых в рамках реализации мероприятий подпрограммы;</w:t>
      </w:r>
    </w:p>
    <w:p w14:paraId="2C59AB60"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14:paraId="07105B91"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2. Внешние риски:</w:t>
      </w:r>
    </w:p>
    <w:p w14:paraId="19958D6A"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усиление инфляции, кризисных явлений в банковском секторе, включая увеличение процентной ставки за пользование кредитами, что может существенно повлиять на уровень инвестиционной активности субъектов предпринимательства, осуществляющих свою деятельность на территории Курской области;</w:t>
      </w:r>
    </w:p>
    <w:p w14:paraId="195ED6C7"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возможные изменения порядка и объемов бюджетного финансирования подпрограммных мероприятий при ухудшении экономической ситуации, изменения порядка предоставления иных мер поддержки организациям.</w:t>
      </w:r>
    </w:p>
    <w:p w14:paraId="66625DC4"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Принятие мер по управлению рисками осуществляется в процессе мониторинга реализации подпрограммы и оценки ее эффективности и результативности.</w:t>
      </w:r>
    </w:p>
    <w:p w14:paraId="66B4215C"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управления внутренними рисками:</w:t>
      </w:r>
    </w:p>
    <w:p w14:paraId="2770BB9D"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формирование ежегодных планов реализации подпрограммы и мониторинга хода ее выполнения, позволяющего выявлять причины и принимать соответствующие меры;</w:t>
      </w:r>
    </w:p>
    <w:p w14:paraId="2ADA2CCF"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принятие решений, направленных на достижение высокоэффективного взаимодействия сотрудников ответственного исполнителя подпрограммы.</w:t>
      </w:r>
    </w:p>
    <w:p w14:paraId="0EF5D293" w14:textId="77777777"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управления внешними рисками:</w:t>
      </w:r>
    </w:p>
    <w:p w14:paraId="079C0EEC" w14:textId="77777777" w:rsidR="0021081C" w:rsidRPr="00B65EC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проведение комплексного анализа внешней и внутренней среды исполнения подпрограммы с дальнейшим принятием решений по </w:t>
      </w:r>
      <w:r w:rsidRPr="0077776F">
        <w:rPr>
          <w:rFonts w:ascii="Times New Roman" w:hAnsi="Times New Roman" w:cs="Times New Roman"/>
          <w:sz w:val="28"/>
          <w:szCs w:val="28"/>
        </w:rPr>
        <w:lastRenderedPageBreak/>
        <w:t>возможному снижению негативных последствий для организаций Курской области, т.е. пересмотром критериев оценки и отбора мероприятий.</w:t>
      </w:r>
    </w:p>
    <w:sectPr w:rsidR="0021081C" w:rsidRPr="00B65EC2" w:rsidSect="009C1C3A">
      <w:headerReference w:type="default" r:id="rId15"/>
      <w:headerReference w:type="first" r:id="rId16"/>
      <w:pgSz w:w="11905" w:h="16838"/>
      <w:pgMar w:top="1134" w:right="1276" w:bottom="1134" w:left="1559" w:header="720" w:footer="720" w:gutter="0"/>
      <w:pgNumType w:start="52"/>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BAC5" w14:textId="77777777" w:rsidR="00995CA1" w:rsidRDefault="00995CA1" w:rsidP="00917B29">
      <w:pPr>
        <w:spacing w:after="0" w:line="240" w:lineRule="auto"/>
      </w:pPr>
      <w:r>
        <w:separator/>
      </w:r>
    </w:p>
  </w:endnote>
  <w:endnote w:type="continuationSeparator" w:id="0">
    <w:p w14:paraId="62F2868F" w14:textId="77777777" w:rsidR="00995CA1" w:rsidRDefault="00995CA1" w:rsidP="0091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2C16" w14:textId="77777777" w:rsidR="00995CA1" w:rsidRDefault="00995CA1" w:rsidP="00917B29">
      <w:pPr>
        <w:spacing w:after="0" w:line="240" w:lineRule="auto"/>
      </w:pPr>
      <w:r>
        <w:separator/>
      </w:r>
    </w:p>
  </w:footnote>
  <w:footnote w:type="continuationSeparator" w:id="0">
    <w:p w14:paraId="2B6E172B" w14:textId="77777777" w:rsidR="00995CA1" w:rsidRDefault="00995CA1" w:rsidP="00917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1025"/>
      <w:docPartObj>
        <w:docPartGallery w:val="Page Numbers (Top of Page)"/>
        <w:docPartUnique/>
      </w:docPartObj>
    </w:sdtPr>
    <w:sdtEndPr/>
    <w:sdtContent>
      <w:p w14:paraId="44B015FC" w14:textId="77777777" w:rsidR="00995CA1" w:rsidRDefault="00BC1A7C">
        <w:pPr>
          <w:pStyle w:val="a4"/>
          <w:jc w:val="center"/>
        </w:pPr>
        <w:r>
          <w:fldChar w:fldCharType="begin"/>
        </w:r>
        <w:r>
          <w:instrText xml:space="preserve"> PAGE   \* MERGEFORMAT </w:instrText>
        </w:r>
        <w:r>
          <w:fldChar w:fldCharType="separate"/>
        </w:r>
        <w:r w:rsidR="002344D1">
          <w:rPr>
            <w:noProof/>
          </w:rPr>
          <w:t>87</w:t>
        </w:r>
        <w:r>
          <w:rPr>
            <w:noProof/>
          </w:rPr>
          <w:fldChar w:fldCharType="end"/>
        </w:r>
      </w:p>
    </w:sdtContent>
  </w:sdt>
  <w:p w14:paraId="324848BA" w14:textId="77777777" w:rsidR="00995CA1" w:rsidRDefault="00995CA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7867"/>
      <w:docPartObj>
        <w:docPartGallery w:val="Page Numbers (Top of Page)"/>
        <w:docPartUnique/>
      </w:docPartObj>
    </w:sdtPr>
    <w:sdtEndPr/>
    <w:sdtContent>
      <w:p w14:paraId="136EB485" w14:textId="77777777" w:rsidR="00995CA1" w:rsidRDefault="00BC1A7C">
        <w:pPr>
          <w:pStyle w:val="a4"/>
          <w:jc w:val="center"/>
        </w:pPr>
        <w:r>
          <w:fldChar w:fldCharType="begin"/>
        </w:r>
        <w:r>
          <w:instrText xml:space="preserve"> PAGE   \* MERGEFORMAT </w:instrText>
        </w:r>
        <w:r>
          <w:fldChar w:fldCharType="separate"/>
        </w:r>
        <w:r w:rsidR="00995CA1">
          <w:rPr>
            <w:noProof/>
          </w:rPr>
          <w:t>52</w:t>
        </w:r>
        <w:r>
          <w:rPr>
            <w:noProof/>
          </w:rPr>
          <w:fldChar w:fldCharType="end"/>
        </w:r>
      </w:p>
    </w:sdtContent>
  </w:sdt>
  <w:p w14:paraId="19100785" w14:textId="77777777" w:rsidR="00995CA1" w:rsidRDefault="00995C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C5819D4"/>
    <w:lvl w:ilvl="0">
      <w:start w:val="1"/>
      <w:numFmt w:val="bullet"/>
      <w:lvlText w:val=""/>
      <w:lvlJc w:val="left"/>
      <w:pPr>
        <w:tabs>
          <w:tab w:val="num" w:pos="1080"/>
        </w:tabs>
        <w:ind w:left="1080" w:hanging="360"/>
      </w:pPr>
      <w:rPr>
        <w:rFonts w:ascii="Symbol" w:hAnsi="Symbol" w:cs="Symbol" w:hint="default"/>
      </w:rPr>
    </w:lvl>
  </w:abstractNum>
  <w:abstractNum w:abstractNumId="1" w15:restartNumberingAfterBreak="0">
    <w:nsid w:val="06E700F6"/>
    <w:multiLevelType w:val="hybridMultilevel"/>
    <w:tmpl w:val="8522CDDC"/>
    <w:lvl w:ilvl="0" w:tplc="F9700080">
      <w:start w:val="1"/>
      <w:numFmt w:val="decimal"/>
      <w:lvlText w:val="%1."/>
      <w:lvlJc w:val="left"/>
      <w:pPr>
        <w:ind w:left="714" w:hanging="360"/>
      </w:pPr>
      <w:rPr>
        <w:rFonts w:hint="default"/>
      </w:rPr>
    </w:lvl>
    <w:lvl w:ilvl="1" w:tplc="04190019">
      <w:start w:val="1"/>
      <w:numFmt w:val="lowerLetter"/>
      <w:lvlText w:val="%2."/>
      <w:lvlJc w:val="left"/>
      <w:pPr>
        <w:ind w:left="1434" w:hanging="360"/>
      </w:pPr>
    </w:lvl>
    <w:lvl w:ilvl="2" w:tplc="0419001B">
      <w:start w:val="1"/>
      <w:numFmt w:val="lowerRoman"/>
      <w:lvlText w:val="%3."/>
      <w:lvlJc w:val="right"/>
      <w:pPr>
        <w:ind w:left="2154" w:hanging="180"/>
      </w:pPr>
    </w:lvl>
    <w:lvl w:ilvl="3" w:tplc="0419000F">
      <w:start w:val="1"/>
      <w:numFmt w:val="decimal"/>
      <w:lvlText w:val="%4."/>
      <w:lvlJc w:val="left"/>
      <w:pPr>
        <w:ind w:left="2874" w:hanging="360"/>
      </w:pPr>
    </w:lvl>
    <w:lvl w:ilvl="4" w:tplc="04190019">
      <w:start w:val="1"/>
      <w:numFmt w:val="lowerLetter"/>
      <w:lvlText w:val="%5."/>
      <w:lvlJc w:val="left"/>
      <w:pPr>
        <w:ind w:left="3594" w:hanging="360"/>
      </w:pPr>
    </w:lvl>
    <w:lvl w:ilvl="5" w:tplc="0419001B">
      <w:start w:val="1"/>
      <w:numFmt w:val="lowerRoman"/>
      <w:lvlText w:val="%6."/>
      <w:lvlJc w:val="right"/>
      <w:pPr>
        <w:ind w:left="4314" w:hanging="180"/>
      </w:pPr>
    </w:lvl>
    <w:lvl w:ilvl="6" w:tplc="0419000F">
      <w:start w:val="1"/>
      <w:numFmt w:val="decimal"/>
      <w:lvlText w:val="%7."/>
      <w:lvlJc w:val="left"/>
      <w:pPr>
        <w:ind w:left="5034" w:hanging="360"/>
      </w:pPr>
    </w:lvl>
    <w:lvl w:ilvl="7" w:tplc="04190019">
      <w:start w:val="1"/>
      <w:numFmt w:val="lowerLetter"/>
      <w:lvlText w:val="%8."/>
      <w:lvlJc w:val="left"/>
      <w:pPr>
        <w:ind w:left="5754" w:hanging="360"/>
      </w:pPr>
    </w:lvl>
    <w:lvl w:ilvl="8" w:tplc="0419001B">
      <w:start w:val="1"/>
      <w:numFmt w:val="lowerRoman"/>
      <w:lvlText w:val="%9."/>
      <w:lvlJc w:val="right"/>
      <w:pPr>
        <w:ind w:left="6474" w:hanging="180"/>
      </w:pPr>
    </w:lvl>
  </w:abstractNum>
  <w:abstractNum w:abstractNumId="2" w15:restartNumberingAfterBreak="0">
    <w:nsid w:val="5D3157D0"/>
    <w:multiLevelType w:val="hybridMultilevel"/>
    <w:tmpl w:val="5FA2319C"/>
    <w:lvl w:ilvl="0" w:tplc="0419000F">
      <w:start w:val="1"/>
      <w:numFmt w:val="decimal"/>
      <w:lvlText w:val="%1."/>
      <w:lvlJc w:val="left"/>
      <w:pPr>
        <w:ind w:left="714" w:hanging="360"/>
      </w:pPr>
      <w:rPr>
        <w:rFonts w:hint="default"/>
      </w:rPr>
    </w:lvl>
    <w:lvl w:ilvl="1" w:tplc="04190019">
      <w:start w:val="1"/>
      <w:numFmt w:val="lowerLetter"/>
      <w:lvlText w:val="%2."/>
      <w:lvlJc w:val="left"/>
      <w:pPr>
        <w:ind w:left="1434" w:hanging="360"/>
      </w:pPr>
    </w:lvl>
    <w:lvl w:ilvl="2" w:tplc="0419001B">
      <w:start w:val="1"/>
      <w:numFmt w:val="lowerRoman"/>
      <w:lvlText w:val="%3."/>
      <w:lvlJc w:val="right"/>
      <w:pPr>
        <w:ind w:left="2154" w:hanging="180"/>
      </w:pPr>
    </w:lvl>
    <w:lvl w:ilvl="3" w:tplc="0419000F">
      <w:start w:val="1"/>
      <w:numFmt w:val="decimal"/>
      <w:lvlText w:val="%4."/>
      <w:lvlJc w:val="left"/>
      <w:pPr>
        <w:ind w:left="2874" w:hanging="360"/>
      </w:pPr>
    </w:lvl>
    <w:lvl w:ilvl="4" w:tplc="04190019">
      <w:start w:val="1"/>
      <w:numFmt w:val="lowerLetter"/>
      <w:lvlText w:val="%5."/>
      <w:lvlJc w:val="left"/>
      <w:pPr>
        <w:ind w:left="3594" w:hanging="360"/>
      </w:pPr>
    </w:lvl>
    <w:lvl w:ilvl="5" w:tplc="0419001B">
      <w:start w:val="1"/>
      <w:numFmt w:val="lowerRoman"/>
      <w:lvlText w:val="%6."/>
      <w:lvlJc w:val="right"/>
      <w:pPr>
        <w:ind w:left="4314" w:hanging="180"/>
      </w:pPr>
    </w:lvl>
    <w:lvl w:ilvl="6" w:tplc="0419000F">
      <w:start w:val="1"/>
      <w:numFmt w:val="decimal"/>
      <w:lvlText w:val="%7."/>
      <w:lvlJc w:val="left"/>
      <w:pPr>
        <w:ind w:left="5034" w:hanging="360"/>
      </w:pPr>
    </w:lvl>
    <w:lvl w:ilvl="7" w:tplc="04190019">
      <w:start w:val="1"/>
      <w:numFmt w:val="lowerLetter"/>
      <w:lvlText w:val="%8."/>
      <w:lvlJc w:val="left"/>
      <w:pPr>
        <w:ind w:left="5754" w:hanging="360"/>
      </w:pPr>
    </w:lvl>
    <w:lvl w:ilvl="8" w:tplc="0419001B">
      <w:start w:val="1"/>
      <w:numFmt w:val="lowerRoman"/>
      <w:lvlText w:val="%9."/>
      <w:lvlJc w:val="right"/>
      <w:pPr>
        <w:ind w:left="6474" w:hanging="180"/>
      </w:pPr>
    </w:lvl>
  </w:abstractNum>
  <w:abstractNum w:abstractNumId="3" w15:restartNumberingAfterBreak="0">
    <w:nsid w:val="6075438F"/>
    <w:multiLevelType w:val="hybridMultilevel"/>
    <w:tmpl w:val="779AB70A"/>
    <w:lvl w:ilvl="0" w:tplc="29D41546">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62FC37A1"/>
    <w:multiLevelType w:val="hybridMultilevel"/>
    <w:tmpl w:val="CE5C5342"/>
    <w:lvl w:ilvl="0" w:tplc="0419000F">
      <w:start w:val="1"/>
      <w:numFmt w:val="decimal"/>
      <w:lvlText w:val="%1."/>
      <w:lvlJc w:val="left"/>
      <w:pPr>
        <w:ind w:left="502"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15:restartNumberingAfterBreak="0">
    <w:nsid w:val="67334AD8"/>
    <w:multiLevelType w:val="hybridMultilevel"/>
    <w:tmpl w:val="F6A4B480"/>
    <w:lvl w:ilvl="0" w:tplc="03729FF4">
      <w:start w:val="1"/>
      <w:numFmt w:val="decimal"/>
      <w:lvlText w:val="%1."/>
      <w:lvlJc w:val="left"/>
      <w:pPr>
        <w:ind w:left="786"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16cid:durableId="436407601">
    <w:abstractNumId w:val="2"/>
  </w:num>
  <w:num w:numId="2" w16cid:durableId="1774129030">
    <w:abstractNumId w:val="1"/>
  </w:num>
  <w:num w:numId="3" w16cid:durableId="944465332">
    <w:abstractNumId w:val="4"/>
  </w:num>
  <w:num w:numId="4" w16cid:durableId="1004044182">
    <w:abstractNumId w:val="0"/>
  </w:num>
  <w:num w:numId="5" w16cid:durableId="1837500131">
    <w:abstractNumId w:val="3"/>
  </w:num>
  <w:num w:numId="6" w16cid:durableId="1983271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revisionView w:inkAnnotation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7D"/>
    <w:rsid w:val="00003C94"/>
    <w:rsid w:val="000060A2"/>
    <w:rsid w:val="00015D78"/>
    <w:rsid w:val="00023049"/>
    <w:rsid w:val="0002444F"/>
    <w:rsid w:val="0002468A"/>
    <w:rsid w:val="0002628E"/>
    <w:rsid w:val="00031CF9"/>
    <w:rsid w:val="000366E1"/>
    <w:rsid w:val="0003731E"/>
    <w:rsid w:val="0004189D"/>
    <w:rsid w:val="00065CCC"/>
    <w:rsid w:val="00067585"/>
    <w:rsid w:val="00067ED3"/>
    <w:rsid w:val="00073CD2"/>
    <w:rsid w:val="000745DF"/>
    <w:rsid w:val="00076436"/>
    <w:rsid w:val="000814EC"/>
    <w:rsid w:val="000842ED"/>
    <w:rsid w:val="00084F33"/>
    <w:rsid w:val="000911B2"/>
    <w:rsid w:val="00092D7B"/>
    <w:rsid w:val="00093C79"/>
    <w:rsid w:val="00096ED6"/>
    <w:rsid w:val="000A0B61"/>
    <w:rsid w:val="000A1D6E"/>
    <w:rsid w:val="000A27E7"/>
    <w:rsid w:val="000A57AB"/>
    <w:rsid w:val="000B2769"/>
    <w:rsid w:val="000B3188"/>
    <w:rsid w:val="000B4B8D"/>
    <w:rsid w:val="000B7D47"/>
    <w:rsid w:val="000C6EDC"/>
    <w:rsid w:val="000D46C1"/>
    <w:rsid w:val="000D5280"/>
    <w:rsid w:val="000D5592"/>
    <w:rsid w:val="000D6203"/>
    <w:rsid w:val="000E1CA1"/>
    <w:rsid w:val="000E3733"/>
    <w:rsid w:val="000E68F0"/>
    <w:rsid w:val="000E785F"/>
    <w:rsid w:val="000E7B7F"/>
    <w:rsid w:val="000F3FDC"/>
    <w:rsid w:val="000F4F5F"/>
    <w:rsid w:val="000F6E93"/>
    <w:rsid w:val="000F711D"/>
    <w:rsid w:val="00101223"/>
    <w:rsid w:val="00101A7B"/>
    <w:rsid w:val="00104798"/>
    <w:rsid w:val="00104D8E"/>
    <w:rsid w:val="00106B17"/>
    <w:rsid w:val="00107710"/>
    <w:rsid w:val="00111599"/>
    <w:rsid w:val="0011414D"/>
    <w:rsid w:val="00114AB6"/>
    <w:rsid w:val="00120141"/>
    <w:rsid w:val="00122EAF"/>
    <w:rsid w:val="00133B95"/>
    <w:rsid w:val="00136A90"/>
    <w:rsid w:val="00140D9D"/>
    <w:rsid w:val="0014310B"/>
    <w:rsid w:val="00145505"/>
    <w:rsid w:val="00147A8D"/>
    <w:rsid w:val="00152455"/>
    <w:rsid w:val="0016203E"/>
    <w:rsid w:val="001671F4"/>
    <w:rsid w:val="001907B7"/>
    <w:rsid w:val="00193D21"/>
    <w:rsid w:val="001947C2"/>
    <w:rsid w:val="00197876"/>
    <w:rsid w:val="001A2D6F"/>
    <w:rsid w:val="001A3545"/>
    <w:rsid w:val="001A436C"/>
    <w:rsid w:val="001A7BB1"/>
    <w:rsid w:val="001B0E2D"/>
    <w:rsid w:val="001B63EF"/>
    <w:rsid w:val="001B6750"/>
    <w:rsid w:val="001C1A8B"/>
    <w:rsid w:val="001C2682"/>
    <w:rsid w:val="001C4E52"/>
    <w:rsid w:val="001C66E4"/>
    <w:rsid w:val="001C729F"/>
    <w:rsid w:val="001C7F69"/>
    <w:rsid w:val="001D6158"/>
    <w:rsid w:val="001D6F62"/>
    <w:rsid w:val="001E3B32"/>
    <w:rsid w:val="001F0041"/>
    <w:rsid w:val="001F053D"/>
    <w:rsid w:val="001F3A85"/>
    <w:rsid w:val="001F4DB2"/>
    <w:rsid w:val="001F6058"/>
    <w:rsid w:val="00201AEE"/>
    <w:rsid w:val="00202C1B"/>
    <w:rsid w:val="0021081C"/>
    <w:rsid w:val="0021163A"/>
    <w:rsid w:val="00212EE3"/>
    <w:rsid w:val="0021417C"/>
    <w:rsid w:val="0022777C"/>
    <w:rsid w:val="002344D1"/>
    <w:rsid w:val="00234A36"/>
    <w:rsid w:val="002362EB"/>
    <w:rsid w:val="0024654F"/>
    <w:rsid w:val="0024692E"/>
    <w:rsid w:val="00251E28"/>
    <w:rsid w:val="00252850"/>
    <w:rsid w:val="0025500E"/>
    <w:rsid w:val="0027428F"/>
    <w:rsid w:val="002754FD"/>
    <w:rsid w:val="00280B3D"/>
    <w:rsid w:val="00286CB6"/>
    <w:rsid w:val="00291C77"/>
    <w:rsid w:val="00296515"/>
    <w:rsid w:val="002A0B7D"/>
    <w:rsid w:val="002B5526"/>
    <w:rsid w:val="002C035D"/>
    <w:rsid w:val="002C09CB"/>
    <w:rsid w:val="002C1BA6"/>
    <w:rsid w:val="002C23C9"/>
    <w:rsid w:val="002C6769"/>
    <w:rsid w:val="002C78B0"/>
    <w:rsid w:val="002D33BE"/>
    <w:rsid w:val="002F3C30"/>
    <w:rsid w:val="00306667"/>
    <w:rsid w:val="00306884"/>
    <w:rsid w:val="003069FA"/>
    <w:rsid w:val="00311D60"/>
    <w:rsid w:val="00311E29"/>
    <w:rsid w:val="00320019"/>
    <w:rsid w:val="003204F6"/>
    <w:rsid w:val="003219EF"/>
    <w:rsid w:val="0032451C"/>
    <w:rsid w:val="003248CD"/>
    <w:rsid w:val="00324925"/>
    <w:rsid w:val="00325A6A"/>
    <w:rsid w:val="0032694A"/>
    <w:rsid w:val="003272A8"/>
    <w:rsid w:val="0033251C"/>
    <w:rsid w:val="0033652E"/>
    <w:rsid w:val="00340684"/>
    <w:rsid w:val="00341EA0"/>
    <w:rsid w:val="00345F9B"/>
    <w:rsid w:val="00350C53"/>
    <w:rsid w:val="00352814"/>
    <w:rsid w:val="0035404E"/>
    <w:rsid w:val="00357E73"/>
    <w:rsid w:val="00365398"/>
    <w:rsid w:val="00380859"/>
    <w:rsid w:val="003811C5"/>
    <w:rsid w:val="00381B48"/>
    <w:rsid w:val="00384B44"/>
    <w:rsid w:val="00390608"/>
    <w:rsid w:val="003930D1"/>
    <w:rsid w:val="00393ACB"/>
    <w:rsid w:val="00395AC1"/>
    <w:rsid w:val="00397ABB"/>
    <w:rsid w:val="003A1F62"/>
    <w:rsid w:val="003A3B82"/>
    <w:rsid w:val="003A7E1A"/>
    <w:rsid w:val="003B0AF0"/>
    <w:rsid w:val="003B1C76"/>
    <w:rsid w:val="003B2EBB"/>
    <w:rsid w:val="003B4137"/>
    <w:rsid w:val="003B6BD9"/>
    <w:rsid w:val="003C2F63"/>
    <w:rsid w:val="003C31C5"/>
    <w:rsid w:val="003D0942"/>
    <w:rsid w:val="003D2556"/>
    <w:rsid w:val="003D5C8C"/>
    <w:rsid w:val="003D5E48"/>
    <w:rsid w:val="003D732E"/>
    <w:rsid w:val="003E389B"/>
    <w:rsid w:val="003E7FFC"/>
    <w:rsid w:val="003F6C34"/>
    <w:rsid w:val="003F73B0"/>
    <w:rsid w:val="003F7C57"/>
    <w:rsid w:val="004001F6"/>
    <w:rsid w:val="0040080D"/>
    <w:rsid w:val="00401617"/>
    <w:rsid w:val="0040283F"/>
    <w:rsid w:val="0040290D"/>
    <w:rsid w:val="004039A4"/>
    <w:rsid w:val="00403F9B"/>
    <w:rsid w:val="00416B77"/>
    <w:rsid w:val="00420FBB"/>
    <w:rsid w:val="00422347"/>
    <w:rsid w:val="0042765E"/>
    <w:rsid w:val="00430E6B"/>
    <w:rsid w:val="00432CB8"/>
    <w:rsid w:val="00442264"/>
    <w:rsid w:val="00446FC8"/>
    <w:rsid w:val="00450D34"/>
    <w:rsid w:val="0045233B"/>
    <w:rsid w:val="0046261C"/>
    <w:rsid w:val="00464239"/>
    <w:rsid w:val="00465893"/>
    <w:rsid w:val="00472878"/>
    <w:rsid w:val="00477A7D"/>
    <w:rsid w:val="004818B8"/>
    <w:rsid w:val="00485A2B"/>
    <w:rsid w:val="00485BAC"/>
    <w:rsid w:val="00486C8D"/>
    <w:rsid w:val="004913D7"/>
    <w:rsid w:val="004A03F0"/>
    <w:rsid w:val="004A26ED"/>
    <w:rsid w:val="004A30F4"/>
    <w:rsid w:val="004A411C"/>
    <w:rsid w:val="004A6A6A"/>
    <w:rsid w:val="004C0223"/>
    <w:rsid w:val="004C249A"/>
    <w:rsid w:val="004C71F3"/>
    <w:rsid w:val="004D34DF"/>
    <w:rsid w:val="004D3CFC"/>
    <w:rsid w:val="004D3D96"/>
    <w:rsid w:val="004D7570"/>
    <w:rsid w:val="004E014B"/>
    <w:rsid w:val="004E31AA"/>
    <w:rsid w:val="004E3792"/>
    <w:rsid w:val="004E7821"/>
    <w:rsid w:val="004F594D"/>
    <w:rsid w:val="00500FE2"/>
    <w:rsid w:val="005045F2"/>
    <w:rsid w:val="00507F32"/>
    <w:rsid w:val="00511014"/>
    <w:rsid w:val="00515E70"/>
    <w:rsid w:val="0051742E"/>
    <w:rsid w:val="00517BA2"/>
    <w:rsid w:val="00523489"/>
    <w:rsid w:val="005255CA"/>
    <w:rsid w:val="005325AC"/>
    <w:rsid w:val="005337B5"/>
    <w:rsid w:val="00533FE1"/>
    <w:rsid w:val="00534C17"/>
    <w:rsid w:val="00536EDF"/>
    <w:rsid w:val="005403FC"/>
    <w:rsid w:val="00540B39"/>
    <w:rsid w:val="00543737"/>
    <w:rsid w:val="005446ED"/>
    <w:rsid w:val="00545590"/>
    <w:rsid w:val="005509EF"/>
    <w:rsid w:val="005526AF"/>
    <w:rsid w:val="00556741"/>
    <w:rsid w:val="00556BBF"/>
    <w:rsid w:val="00563C60"/>
    <w:rsid w:val="0056439A"/>
    <w:rsid w:val="00570EEF"/>
    <w:rsid w:val="00574873"/>
    <w:rsid w:val="00574FFA"/>
    <w:rsid w:val="00575975"/>
    <w:rsid w:val="00575B12"/>
    <w:rsid w:val="0058044F"/>
    <w:rsid w:val="00584DB7"/>
    <w:rsid w:val="00584E90"/>
    <w:rsid w:val="005908E9"/>
    <w:rsid w:val="00591F4C"/>
    <w:rsid w:val="0059437B"/>
    <w:rsid w:val="005A28C8"/>
    <w:rsid w:val="005A2DE7"/>
    <w:rsid w:val="005A4B6F"/>
    <w:rsid w:val="005A598B"/>
    <w:rsid w:val="005A713B"/>
    <w:rsid w:val="005B4372"/>
    <w:rsid w:val="005C2E47"/>
    <w:rsid w:val="005C4A0A"/>
    <w:rsid w:val="005C5D04"/>
    <w:rsid w:val="005C691D"/>
    <w:rsid w:val="005D0AFA"/>
    <w:rsid w:val="005E1109"/>
    <w:rsid w:val="005E750B"/>
    <w:rsid w:val="005F1B62"/>
    <w:rsid w:val="005F4649"/>
    <w:rsid w:val="005F6895"/>
    <w:rsid w:val="00603564"/>
    <w:rsid w:val="00603B76"/>
    <w:rsid w:val="00611633"/>
    <w:rsid w:val="00620239"/>
    <w:rsid w:val="00626E93"/>
    <w:rsid w:val="00632063"/>
    <w:rsid w:val="006321FF"/>
    <w:rsid w:val="0064163A"/>
    <w:rsid w:val="00642D70"/>
    <w:rsid w:val="006433C0"/>
    <w:rsid w:val="00655DD5"/>
    <w:rsid w:val="00657C9C"/>
    <w:rsid w:val="00660333"/>
    <w:rsid w:val="006667B6"/>
    <w:rsid w:val="0067063C"/>
    <w:rsid w:val="0067463C"/>
    <w:rsid w:val="0067518E"/>
    <w:rsid w:val="00675D6E"/>
    <w:rsid w:val="006809D7"/>
    <w:rsid w:val="00681F39"/>
    <w:rsid w:val="00682985"/>
    <w:rsid w:val="00683689"/>
    <w:rsid w:val="00685023"/>
    <w:rsid w:val="00690DF2"/>
    <w:rsid w:val="00694A10"/>
    <w:rsid w:val="006A2775"/>
    <w:rsid w:val="006A3B0E"/>
    <w:rsid w:val="006A7414"/>
    <w:rsid w:val="006B17B5"/>
    <w:rsid w:val="006B2385"/>
    <w:rsid w:val="006C07B3"/>
    <w:rsid w:val="006C0EC4"/>
    <w:rsid w:val="006D679E"/>
    <w:rsid w:val="006D6FC1"/>
    <w:rsid w:val="006D7D4B"/>
    <w:rsid w:val="006E177B"/>
    <w:rsid w:val="006E2946"/>
    <w:rsid w:val="006E63C6"/>
    <w:rsid w:val="006F30D5"/>
    <w:rsid w:val="006F4D4F"/>
    <w:rsid w:val="00700B9A"/>
    <w:rsid w:val="00701E6F"/>
    <w:rsid w:val="00706909"/>
    <w:rsid w:val="00714350"/>
    <w:rsid w:val="007241CC"/>
    <w:rsid w:val="007261A8"/>
    <w:rsid w:val="00726933"/>
    <w:rsid w:val="00734F82"/>
    <w:rsid w:val="00735B19"/>
    <w:rsid w:val="00742B6B"/>
    <w:rsid w:val="00761EFD"/>
    <w:rsid w:val="00762C78"/>
    <w:rsid w:val="00765B35"/>
    <w:rsid w:val="00766CDB"/>
    <w:rsid w:val="007707C4"/>
    <w:rsid w:val="007724A7"/>
    <w:rsid w:val="00773636"/>
    <w:rsid w:val="007747E4"/>
    <w:rsid w:val="0077776F"/>
    <w:rsid w:val="007841ED"/>
    <w:rsid w:val="0078528B"/>
    <w:rsid w:val="00785A9B"/>
    <w:rsid w:val="00786BE5"/>
    <w:rsid w:val="0079522D"/>
    <w:rsid w:val="00795A8A"/>
    <w:rsid w:val="00795CF5"/>
    <w:rsid w:val="00797C47"/>
    <w:rsid w:val="007A24C4"/>
    <w:rsid w:val="007A29B1"/>
    <w:rsid w:val="007A42FB"/>
    <w:rsid w:val="007A48A8"/>
    <w:rsid w:val="007A49B5"/>
    <w:rsid w:val="007A50DB"/>
    <w:rsid w:val="007A5E0F"/>
    <w:rsid w:val="007B014B"/>
    <w:rsid w:val="007B0C39"/>
    <w:rsid w:val="007B2F70"/>
    <w:rsid w:val="007B62EB"/>
    <w:rsid w:val="007B7855"/>
    <w:rsid w:val="007C4F42"/>
    <w:rsid w:val="007D5E17"/>
    <w:rsid w:val="007E75E8"/>
    <w:rsid w:val="007F5B12"/>
    <w:rsid w:val="007F66A4"/>
    <w:rsid w:val="007F6CAA"/>
    <w:rsid w:val="00801CD8"/>
    <w:rsid w:val="008075F3"/>
    <w:rsid w:val="00811537"/>
    <w:rsid w:val="0081280D"/>
    <w:rsid w:val="008146DF"/>
    <w:rsid w:val="00823C48"/>
    <w:rsid w:val="00833441"/>
    <w:rsid w:val="00833AA4"/>
    <w:rsid w:val="00837639"/>
    <w:rsid w:val="00837DF0"/>
    <w:rsid w:val="00854D19"/>
    <w:rsid w:val="00854E95"/>
    <w:rsid w:val="00856185"/>
    <w:rsid w:val="00864501"/>
    <w:rsid w:val="00866EB2"/>
    <w:rsid w:val="00867B8C"/>
    <w:rsid w:val="008805A9"/>
    <w:rsid w:val="00886420"/>
    <w:rsid w:val="008906D0"/>
    <w:rsid w:val="008916FB"/>
    <w:rsid w:val="00893243"/>
    <w:rsid w:val="008964CE"/>
    <w:rsid w:val="008A3491"/>
    <w:rsid w:val="008A57EB"/>
    <w:rsid w:val="008A62C7"/>
    <w:rsid w:val="008B1F1F"/>
    <w:rsid w:val="008B3987"/>
    <w:rsid w:val="008B6C34"/>
    <w:rsid w:val="008B6CDB"/>
    <w:rsid w:val="008C2425"/>
    <w:rsid w:val="008C28F2"/>
    <w:rsid w:val="008C5DF3"/>
    <w:rsid w:val="008C6084"/>
    <w:rsid w:val="008C6C4D"/>
    <w:rsid w:val="008C746E"/>
    <w:rsid w:val="008D2C70"/>
    <w:rsid w:val="008D690A"/>
    <w:rsid w:val="008D7A8F"/>
    <w:rsid w:val="008E122E"/>
    <w:rsid w:val="008E361C"/>
    <w:rsid w:val="008E4560"/>
    <w:rsid w:val="008E4F06"/>
    <w:rsid w:val="008F2C65"/>
    <w:rsid w:val="008F5992"/>
    <w:rsid w:val="008F5E50"/>
    <w:rsid w:val="008F5F81"/>
    <w:rsid w:val="008F7AD5"/>
    <w:rsid w:val="009007D1"/>
    <w:rsid w:val="009104C5"/>
    <w:rsid w:val="00914254"/>
    <w:rsid w:val="00917B29"/>
    <w:rsid w:val="009214F8"/>
    <w:rsid w:val="00922851"/>
    <w:rsid w:val="00927F75"/>
    <w:rsid w:val="00930414"/>
    <w:rsid w:val="00933637"/>
    <w:rsid w:val="00935539"/>
    <w:rsid w:val="00935963"/>
    <w:rsid w:val="00936449"/>
    <w:rsid w:val="0093653B"/>
    <w:rsid w:val="009429D0"/>
    <w:rsid w:val="009441AA"/>
    <w:rsid w:val="00945BE3"/>
    <w:rsid w:val="009541B2"/>
    <w:rsid w:val="00956CCB"/>
    <w:rsid w:val="009629E2"/>
    <w:rsid w:val="00962C63"/>
    <w:rsid w:val="00962D59"/>
    <w:rsid w:val="00963376"/>
    <w:rsid w:val="00963D20"/>
    <w:rsid w:val="009650DD"/>
    <w:rsid w:val="00965526"/>
    <w:rsid w:val="0096564D"/>
    <w:rsid w:val="009702C7"/>
    <w:rsid w:val="00972396"/>
    <w:rsid w:val="00981C89"/>
    <w:rsid w:val="00982ED8"/>
    <w:rsid w:val="00983174"/>
    <w:rsid w:val="0098357B"/>
    <w:rsid w:val="009850F4"/>
    <w:rsid w:val="00991BB5"/>
    <w:rsid w:val="009948B8"/>
    <w:rsid w:val="00995CA1"/>
    <w:rsid w:val="009A1C49"/>
    <w:rsid w:val="009A373E"/>
    <w:rsid w:val="009A4917"/>
    <w:rsid w:val="009B1EED"/>
    <w:rsid w:val="009B2AE7"/>
    <w:rsid w:val="009C1AAF"/>
    <w:rsid w:val="009C1C3A"/>
    <w:rsid w:val="009C45DB"/>
    <w:rsid w:val="009D666A"/>
    <w:rsid w:val="009E48F4"/>
    <w:rsid w:val="009E7431"/>
    <w:rsid w:val="009F01EE"/>
    <w:rsid w:val="009F12D0"/>
    <w:rsid w:val="009F5B03"/>
    <w:rsid w:val="009F7678"/>
    <w:rsid w:val="00A0079B"/>
    <w:rsid w:val="00A04EFA"/>
    <w:rsid w:val="00A05C88"/>
    <w:rsid w:val="00A079DF"/>
    <w:rsid w:val="00A07DEC"/>
    <w:rsid w:val="00A11B16"/>
    <w:rsid w:val="00A131AE"/>
    <w:rsid w:val="00A13334"/>
    <w:rsid w:val="00A14DAA"/>
    <w:rsid w:val="00A173C7"/>
    <w:rsid w:val="00A23457"/>
    <w:rsid w:val="00A27FD5"/>
    <w:rsid w:val="00A3080B"/>
    <w:rsid w:val="00A31A6F"/>
    <w:rsid w:val="00A4583B"/>
    <w:rsid w:val="00A50439"/>
    <w:rsid w:val="00A55EC8"/>
    <w:rsid w:val="00A66700"/>
    <w:rsid w:val="00A71991"/>
    <w:rsid w:val="00A763F5"/>
    <w:rsid w:val="00A77165"/>
    <w:rsid w:val="00A77A40"/>
    <w:rsid w:val="00A82562"/>
    <w:rsid w:val="00A910D7"/>
    <w:rsid w:val="00A93255"/>
    <w:rsid w:val="00A967B1"/>
    <w:rsid w:val="00A96E13"/>
    <w:rsid w:val="00A97044"/>
    <w:rsid w:val="00AA20BE"/>
    <w:rsid w:val="00AA468F"/>
    <w:rsid w:val="00AB32AF"/>
    <w:rsid w:val="00AB5F43"/>
    <w:rsid w:val="00AB63B5"/>
    <w:rsid w:val="00AB7859"/>
    <w:rsid w:val="00AC0B14"/>
    <w:rsid w:val="00AC5E66"/>
    <w:rsid w:val="00AD0A34"/>
    <w:rsid w:val="00AD232B"/>
    <w:rsid w:val="00AE17D5"/>
    <w:rsid w:val="00AE1C1B"/>
    <w:rsid w:val="00AE39FE"/>
    <w:rsid w:val="00AE7A41"/>
    <w:rsid w:val="00AF0883"/>
    <w:rsid w:val="00AF09BE"/>
    <w:rsid w:val="00AF4F26"/>
    <w:rsid w:val="00B04AED"/>
    <w:rsid w:val="00B04FDF"/>
    <w:rsid w:val="00B053ED"/>
    <w:rsid w:val="00B10AEC"/>
    <w:rsid w:val="00B11864"/>
    <w:rsid w:val="00B11EAC"/>
    <w:rsid w:val="00B1409B"/>
    <w:rsid w:val="00B15DDC"/>
    <w:rsid w:val="00B16941"/>
    <w:rsid w:val="00B2079B"/>
    <w:rsid w:val="00B32229"/>
    <w:rsid w:val="00B358D8"/>
    <w:rsid w:val="00B40C61"/>
    <w:rsid w:val="00B41698"/>
    <w:rsid w:val="00B43248"/>
    <w:rsid w:val="00B46FDB"/>
    <w:rsid w:val="00B56537"/>
    <w:rsid w:val="00B56672"/>
    <w:rsid w:val="00B61EDA"/>
    <w:rsid w:val="00B65EC2"/>
    <w:rsid w:val="00B67730"/>
    <w:rsid w:val="00B74978"/>
    <w:rsid w:val="00B816E8"/>
    <w:rsid w:val="00B823FA"/>
    <w:rsid w:val="00B917BB"/>
    <w:rsid w:val="00B94822"/>
    <w:rsid w:val="00B94C94"/>
    <w:rsid w:val="00B97E05"/>
    <w:rsid w:val="00BA211B"/>
    <w:rsid w:val="00BA269E"/>
    <w:rsid w:val="00BA7097"/>
    <w:rsid w:val="00BB30A4"/>
    <w:rsid w:val="00BB4721"/>
    <w:rsid w:val="00BB4F5C"/>
    <w:rsid w:val="00BB77D8"/>
    <w:rsid w:val="00BC1220"/>
    <w:rsid w:val="00BC1527"/>
    <w:rsid w:val="00BC1A7C"/>
    <w:rsid w:val="00BC31B9"/>
    <w:rsid w:val="00BC5B42"/>
    <w:rsid w:val="00BC6816"/>
    <w:rsid w:val="00BD13FF"/>
    <w:rsid w:val="00BD4142"/>
    <w:rsid w:val="00BE668D"/>
    <w:rsid w:val="00BF0439"/>
    <w:rsid w:val="00BF06D3"/>
    <w:rsid w:val="00BF148F"/>
    <w:rsid w:val="00BF5062"/>
    <w:rsid w:val="00BF53FA"/>
    <w:rsid w:val="00C0095E"/>
    <w:rsid w:val="00C038D1"/>
    <w:rsid w:val="00C05CBF"/>
    <w:rsid w:val="00C05FA8"/>
    <w:rsid w:val="00C07EC7"/>
    <w:rsid w:val="00C21625"/>
    <w:rsid w:val="00C218C5"/>
    <w:rsid w:val="00C2362A"/>
    <w:rsid w:val="00C27764"/>
    <w:rsid w:val="00C31C7C"/>
    <w:rsid w:val="00C35F2E"/>
    <w:rsid w:val="00C37692"/>
    <w:rsid w:val="00C4059A"/>
    <w:rsid w:val="00C42339"/>
    <w:rsid w:val="00C445BE"/>
    <w:rsid w:val="00C4559D"/>
    <w:rsid w:val="00C52110"/>
    <w:rsid w:val="00C533B6"/>
    <w:rsid w:val="00C54C36"/>
    <w:rsid w:val="00C55519"/>
    <w:rsid w:val="00C64C60"/>
    <w:rsid w:val="00C66466"/>
    <w:rsid w:val="00C66928"/>
    <w:rsid w:val="00C7026F"/>
    <w:rsid w:val="00C72D55"/>
    <w:rsid w:val="00C74DD5"/>
    <w:rsid w:val="00C7503B"/>
    <w:rsid w:val="00C808B1"/>
    <w:rsid w:val="00C91579"/>
    <w:rsid w:val="00C9456E"/>
    <w:rsid w:val="00C95E3E"/>
    <w:rsid w:val="00CB2611"/>
    <w:rsid w:val="00CB2A1D"/>
    <w:rsid w:val="00CB4900"/>
    <w:rsid w:val="00CC18AD"/>
    <w:rsid w:val="00CC4C28"/>
    <w:rsid w:val="00CD3A7E"/>
    <w:rsid w:val="00CE4818"/>
    <w:rsid w:val="00CE7B2C"/>
    <w:rsid w:val="00CF0897"/>
    <w:rsid w:val="00CF4FEE"/>
    <w:rsid w:val="00CF5433"/>
    <w:rsid w:val="00CF7DF8"/>
    <w:rsid w:val="00D00696"/>
    <w:rsid w:val="00D03764"/>
    <w:rsid w:val="00D11089"/>
    <w:rsid w:val="00D21913"/>
    <w:rsid w:val="00D27DA4"/>
    <w:rsid w:val="00D30928"/>
    <w:rsid w:val="00D33F70"/>
    <w:rsid w:val="00D426BE"/>
    <w:rsid w:val="00D429B8"/>
    <w:rsid w:val="00D42F21"/>
    <w:rsid w:val="00D43066"/>
    <w:rsid w:val="00D51352"/>
    <w:rsid w:val="00D5434C"/>
    <w:rsid w:val="00D56C1E"/>
    <w:rsid w:val="00D64616"/>
    <w:rsid w:val="00D749EC"/>
    <w:rsid w:val="00D8610C"/>
    <w:rsid w:val="00D94673"/>
    <w:rsid w:val="00D9509B"/>
    <w:rsid w:val="00DB49FC"/>
    <w:rsid w:val="00DC0C05"/>
    <w:rsid w:val="00DC1216"/>
    <w:rsid w:val="00DC1A42"/>
    <w:rsid w:val="00DC4602"/>
    <w:rsid w:val="00DC4F59"/>
    <w:rsid w:val="00DC7D78"/>
    <w:rsid w:val="00DD79C4"/>
    <w:rsid w:val="00DE2FE5"/>
    <w:rsid w:val="00DE31BA"/>
    <w:rsid w:val="00DF1464"/>
    <w:rsid w:val="00DF14F0"/>
    <w:rsid w:val="00DF1878"/>
    <w:rsid w:val="00DF257C"/>
    <w:rsid w:val="00DF6F88"/>
    <w:rsid w:val="00DF7438"/>
    <w:rsid w:val="00E05CC4"/>
    <w:rsid w:val="00E0652A"/>
    <w:rsid w:val="00E10C7F"/>
    <w:rsid w:val="00E11674"/>
    <w:rsid w:val="00E11779"/>
    <w:rsid w:val="00E12EC1"/>
    <w:rsid w:val="00E16341"/>
    <w:rsid w:val="00E212D5"/>
    <w:rsid w:val="00E22805"/>
    <w:rsid w:val="00E249F3"/>
    <w:rsid w:val="00E264C9"/>
    <w:rsid w:val="00E27328"/>
    <w:rsid w:val="00E27EBB"/>
    <w:rsid w:val="00E30C55"/>
    <w:rsid w:val="00E319F0"/>
    <w:rsid w:val="00E364E0"/>
    <w:rsid w:val="00E40324"/>
    <w:rsid w:val="00E4100A"/>
    <w:rsid w:val="00E41F6E"/>
    <w:rsid w:val="00E42A95"/>
    <w:rsid w:val="00E43036"/>
    <w:rsid w:val="00E436C6"/>
    <w:rsid w:val="00E442AE"/>
    <w:rsid w:val="00E54ECA"/>
    <w:rsid w:val="00E57AC6"/>
    <w:rsid w:val="00E62ADF"/>
    <w:rsid w:val="00E63C56"/>
    <w:rsid w:val="00E667E5"/>
    <w:rsid w:val="00E72F87"/>
    <w:rsid w:val="00E7552D"/>
    <w:rsid w:val="00E767AF"/>
    <w:rsid w:val="00E80D30"/>
    <w:rsid w:val="00E82A7D"/>
    <w:rsid w:val="00E85461"/>
    <w:rsid w:val="00E9238D"/>
    <w:rsid w:val="00E94FF3"/>
    <w:rsid w:val="00E9769E"/>
    <w:rsid w:val="00EA2045"/>
    <w:rsid w:val="00EB020E"/>
    <w:rsid w:val="00EB0C0E"/>
    <w:rsid w:val="00EB183D"/>
    <w:rsid w:val="00EB5A14"/>
    <w:rsid w:val="00EC06E0"/>
    <w:rsid w:val="00EC076B"/>
    <w:rsid w:val="00EC6E1B"/>
    <w:rsid w:val="00ED1B85"/>
    <w:rsid w:val="00ED3E47"/>
    <w:rsid w:val="00EE3E07"/>
    <w:rsid w:val="00EE4C26"/>
    <w:rsid w:val="00EE6E33"/>
    <w:rsid w:val="00EE7713"/>
    <w:rsid w:val="00EF2A40"/>
    <w:rsid w:val="00EF4998"/>
    <w:rsid w:val="00EF6ACF"/>
    <w:rsid w:val="00F0227B"/>
    <w:rsid w:val="00F03382"/>
    <w:rsid w:val="00F046D2"/>
    <w:rsid w:val="00F06C3C"/>
    <w:rsid w:val="00F071BE"/>
    <w:rsid w:val="00F07596"/>
    <w:rsid w:val="00F10787"/>
    <w:rsid w:val="00F12944"/>
    <w:rsid w:val="00F12D0C"/>
    <w:rsid w:val="00F14EA6"/>
    <w:rsid w:val="00F16A17"/>
    <w:rsid w:val="00F225F3"/>
    <w:rsid w:val="00F23031"/>
    <w:rsid w:val="00F24237"/>
    <w:rsid w:val="00F250F9"/>
    <w:rsid w:val="00F258CA"/>
    <w:rsid w:val="00F2652B"/>
    <w:rsid w:val="00F2663B"/>
    <w:rsid w:val="00F317D9"/>
    <w:rsid w:val="00F33B35"/>
    <w:rsid w:val="00F4040B"/>
    <w:rsid w:val="00F4506F"/>
    <w:rsid w:val="00F45A39"/>
    <w:rsid w:val="00F534A3"/>
    <w:rsid w:val="00F537D3"/>
    <w:rsid w:val="00F55E04"/>
    <w:rsid w:val="00F71FEA"/>
    <w:rsid w:val="00F72DFD"/>
    <w:rsid w:val="00F810EC"/>
    <w:rsid w:val="00F844E5"/>
    <w:rsid w:val="00F8563A"/>
    <w:rsid w:val="00F87A15"/>
    <w:rsid w:val="00F90617"/>
    <w:rsid w:val="00F915BE"/>
    <w:rsid w:val="00F97DC8"/>
    <w:rsid w:val="00FA4CFE"/>
    <w:rsid w:val="00FA59D8"/>
    <w:rsid w:val="00FA5C79"/>
    <w:rsid w:val="00FA6024"/>
    <w:rsid w:val="00FB2638"/>
    <w:rsid w:val="00FC3E2C"/>
    <w:rsid w:val="00FC567A"/>
    <w:rsid w:val="00FC6AEA"/>
    <w:rsid w:val="00FC7DBB"/>
    <w:rsid w:val="00FD02EE"/>
    <w:rsid w:val="00FD666A"/>
    <w:rsid w:val="00FD6D75"/>
    <w:rsid w:val="00FE0DC9"/>
    <w:rsid w:val="00FE4822"/>
    <w:rsid w:val="00FF1BE2"/>
    <w:rsid w:val="00FF6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110FEA"/>
  <w15:docId w15:val="{41B26D94-3BB5-4BE4-A7DC-5524896D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9D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77A7D"/>
    <w:pPr>
      <w:widowControl w:val="0"/>
      <w:autoSpaceDE w:val="0"/>
      <w:autoSpaceDN w:val="0"/>
      <w:adjustRightInd w:val="0"/>
    </w:pPr>
    <w:rPr>
      <w:rFonts w:eastAsia="Times New Roman" w:cs="Calibri"/>
    </w:rPr>
  </w:style>
  <w:style w:type="paragraph" w:customStyle="1" w:styleId="ConsPlusNonformat">
    <w:name w:val="ConsPlusNonformat"/>
    <w:uiPriority w:val="99"/>
    <w:rsid w:val="00477A7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77A7D"/>
    <w:pPr>
      <w:widowControl w:val="0"/>
      <w:autoSpaceDE w:val="0"/>
      <w:autoSpaceDN w:val="0"/>
      <w:adjustRightInd w:val="0"/>
    </w:pPr>
    <w:rPr>
      <w:rFonts w:eastAsia="Times New Roman" w:cs="Calibri"/>
      <w:b/>
      <w:bCs/>
    </w:rPr>
  </w:style>
  <w:style w:type="paragraph" w:customStyle="1" w:styleId="ConsPlusCell">
    <w:name w:val="ConsPlusCell"/>
    <w:uiPriority w:val="99"/>
    <w:rsid w:val="00477A7D"/>
    <w:pPr>
      <w:widowControl w:val="0"/>
      <w:autoSpaceDE w:val="0"/>
      <w:autoSpaceDN w:val="0"/>
      <w:adjustRightInd w:val="0"/>
    </w:pPr>
    <w:rPr>
      <w:rFonts w:eastAsia="Times New Roman" w:cs="Calibri"/>
    </w:rPr>
  </w:style>
  <w:style w:type="paragraph" w:customStyle="1" w:styleId="a3">
    <w:name w:val="Заголовок отчета"/>
    <w:basedOn w:val="a"/>
    <w:uiPriority w:val="99"/>
    <w:rsid w:val="002C23C9"/>
    <w:pPr>
      <w:spacing w:before="120" w:after="240" w:line="240" w:lineRule="auto"/>
      <w:jc w:val="center"/>
    </w:pPr>
    <w:rPr>
      <w:rFonts w:ascii="Times New Roman" w:eastAsia="Times New Roman" w:hAnsi="Times New Roman" w:cs="Times New Roman"/>
      <w:b/>
      <w:bCs/>
      <w:sz w:val="28"/>
      <w:szCs w:val="28"/>
      <w:lang w:eastAsia="ru-RU"/>
    </w:rPr>
  </w:style>
  <w:style w:type="paragraph" w:styleId="a4">
    <w:name w:val="header"/>
    <w:basedOn w:val="a"/>
    <w:link w:val="a5"/>
    <w:uiPriority w:val="99"/>
    <w:rsid w:val="002C2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locked/>
    <w:rsid w:val="002C23C9"/>
    <w:rPr>
      <w:rFonts w:ascii="Times New Roman" w:hAnsi="Times New Roman" w:cs="Times New Roman"/>
      <w:sz w:val="24"/>
      <w:szCs w:val="24"/>
      <w:lang w:eastAsia="ru-RU"/>
    </w:rPr>
  </w:style>
  <w:style w:type="character" w:styleId="a6">
    <w:name w:val="page number"/>
    <w:basedOn w:val="a0"/>
    <w:uiPriority w:val="99"/>
    <w:rsid w:val="002C23C9"/>
  </w:style>
  <w:style w:type="paragraph" w:customStyle="1" w:styleId="a7">
    <w:name w:val="Обычный (паспорт)"/>
    <w:basedOn w:val="a"/>
    <w:uiPriority w:val="99"/>
    <w:rsid w:val="002C23C9"/>
    <w:pPr>
      <w:spacing w:before="120" w:after="0" w:line="240" w:lineRule="auto"/>
      <w:jc w:val="both"/>
    </w:pPr>
    <w:rPr>
      <w:rFonts w:ascii="Times New Roman" w:eastAsia="Times New Roman" w:hAnsi="Times New Roman" w:cs="Times New Roman"/>
      <w:sz w:val="28"/>
      <w:szCs w:val="28"/>
      <w:lang w:eastAsia="ru-RU"/>
    </w:rPr>
  </w:style>
  <w:style w:type="paragraph" w:styleId="a8">
    <w:name w:val="Balloon Text"/>
    <w:basedOn w:val="a"/>
    <w:link w:val="a9"/>
    <w:uiPriority w:val="99"/>
    <w:semiHidden/>
    <w:rsid w:val="002C23C9"/>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locked/>
    <w:rsid w:val="002C23C9"/>
    <w:rPr>
      <w:rFonts w:ascii="Tahoma" w:hAnsi="Tahoma" w:cs="Tahoma"/>
      <w:sz w:val="16"/>
      <w:szCs w:val="16"/>
      <w:lang w:eastAsia="ru-RU"/>
    </w:rPr>
  </w:style>
  <w:style w:type="paragraph" w:customStyle="1" w:styleId="1">
    <w:name w:val="1 Знак"/>
    <w:basedOn w:val="a"/>
    <w:uiPriority w:val="99"/>
    <w:rsid w:val="002C23C9"/>
    <w:pPr>
      <w:spacing w:after="160" w:line="240" w:lineRule="exact"/>
    </w:pPr>
    <w:rPr>
      <w:rFonts w:ascii="Verdana" w:eastAsia="Times New Roman" w:hAnsi="Verdana" w:cs="Verdana"/>
      <w:sz w:val="20"/>
      <w:szCs w:val="20"/>
      <w:lang w:val="en-US"/>
    </w:rPr>
  </w:style>
  <w:style w:type="character" w:styleId="aa">
    <w:name w:val="Hyperlink"/>
    <w:basedOn w:val="a0"/>
    <w:uiPriority w:val="99"/>
    <w:rsid w:val="002C23C9"/>
    <w:rPr>
      <w:color w:val="0000FF"/>
      <w:u w:val="single"/>
    </w:rPr>
  </w:style>
  <w:style w:type="paragraph" w:customStyle="1" w:styleId="ab">
    <w:name w:val="Нормальный (таблица)"/>
    <w:basedOn w:val="a"/>
    <w:next w:val="a"/>
    <w:uiPriority w:val="99"/>
    <w:rsid w:val="002C23C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c">
    <w:name w:val="Знак Знак Знак Знак Знак Знак Знак Знак Знак Знак Знак Знак Знак Знак Знак Знак Знак Знак"/>
    <w:basedOn w:val="a"/>
    <w:uiPriority w:val="99"/>
    <w:rsid w:val="002C23C9"/>
    <w:pPr>
      <w:spacing w:before="100" w:beforeAutospacing="1" w:after="100" w:afterAutospacing="1" w:line="240" w:lineRule="auto"/>
    </w:pPr>
    <w:rPr>
      <w:rFonts w:ascii="Tahoma" w:eastAsia="Times New Roman" w:hAnsi="Tahoma" w:cs="Tahoma"/>
      <w:sz w:val="20"/>
      <w:szCs w:val="20"/>
      <w:lang w:val="en-US"/>
    </w:rPr>
  </w:style>
  <w:style w:type="paragraph" w:styleId="ad">
    <w:name w:val="footer"/>
    <w:basedOn w:val="a"/>
    <w:link w:val="ae"/>
    <w:uiPriority w:val="99"/>
    <w:rsid w:val="002C2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locked/>
    <w:rsid w:val="002C23C9"/>
    <w:rPr>
      <w:rFonts w:ascii="Times New Roman" w:hAnsi="Times New Roman" w:cs="Times New Roman"/>
      <w:sz w:val="24"/>
      <w:szCs w:val="24"/>
      <w:lang w:eastAsia="ru-RU"/>
    </w:rPr>
  </w:style>
  <w:style w:type="paragraph" w:styleId="HTML">
    <w:name w:val="HTML Preformatted"/>
    <w:basedOn w:val="a"/>
    <w:link w:val="HTML0"/>
    <w:uiPriority w:val="99"/>
    <w:rsid w:val="002C2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2C23C9"/>
    <w:rPr>
      <w:rFonts w:ascii="Courier New" w:hAnsi="Courier New" w:cs="Courier New"/>
      <w:sz w:val="20"/>
      <w:szCs w:val="20"/>
      <w:lang w:eastAsia="ru-RU"/>
    </w:rPr>
  </w:style>
  <w:style w:type="character" w:customStyle="1" w:styleId="apple-converted-space">
    <w:name w:val="apple-converted-space"/>
    <w:basedOn w:val="a0"/>
    <w:uiPriority w:val="99"/>
    <w:rsid w:val="002C23C9"/>
  </w:style>
  <w:style w:type="paragraph" w:styleId="af">
    <w:name w:val="List Paragraph"/>
    <w:basedOn w:val="a"/>
    <w:uiPriority w:val="34"/>
    <w:qFormat/>
    <w:rsid w:val="00F2652B"/>
    <w:pPr>
      <w:ind w:left="720"/>
    </w:pPr>
  </w:style>
  <w:style w:type="character" w:customStyle="1" w:styleId="ConsPlusNormal0">
    <w:name w:val="ConsPlusNormal Знак"/>
    <w:link w:val="ConsPlusNormal"/>
    <w:locked/>
    <w:rsid w:val="00A66700"/>
    <w:rPr>
      <w:rFonts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3B7374B26594898F7DEA1C222D48A4CB6E1698E1D6BDC2EE1225930760A00AIAU4G" TargetMode="External"/><Relationship Id="rId13" Type="http://schemas.openxmlformats.org/officeDocument/2006/relationships/hyperlink" Target="consultantplus://offline/ref=103B7374B26594898F7DEA1C222D48A4CB6E1698E0D8BFCCE81225930760A00AIAU4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3B7374B26594898F7DEA1C222D48A4CB6E1698E1D6BDC2EE1225930760A00AIAU4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3B7374B26594898F7DEA1C222D48A4CB6E1698EBD9BFC1E04F2F9B5E6CA2I0UD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03B7374B26594898F7DEA1C222D48A4CB6E1698EBD9BFC1E04F2F9B5E6CA20DAB2E0FC13C235C2420C7IBU2G" TargetMode="External"/><Relationship Id="rId4" Type="http://schemas.openxmlformats.org/officeDocument/2006/relationships/settings" Target="settings.xml"/><Relationship Id="rId9" Type="http://schemas.openxmlformats.org/officeDocument/2006/relationships/hyperlink" Target="http://www.kurskoblinvest.ru" TargetMode="External"/><Relationship Id="rId14" Type="http://schemas.openxmlformats.org/officeDocument/2006/relationships/hyperlink" Target="consultantplus://offline/ref=F7C26784C296FC1B2A00EBE4EBFD1A18C50121FCB376C20A99A0E779045034330C39E37FD0FE37F1451D8CC8D1EBEBF66B987AC57CEFA24F56834FVCz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D9744-AF65-49B9-90C4-1EDDB84A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37</Pages>
  <Words>9716</Words>
  <Characters>74873</Characters>
  <Application>Microsoft Office Word</Application>
  <DocSecurity>0</DocSecurity>
  <Lines>623</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dc:creator>
  <cp:lastModifiedBy>Жанна</cp:lastModifiedBy>
  <cp:revision>19</cp:revision>
  <cp:lastPrinted>2016-04-06T12:04:00Z</cp:lastPrinted>
  <dcterms:created xsi:type="dcterms:W3CDTF">2022-11-07T13:31:00Z</dcterms:created>
  <dcterms:modified xsi:type="dcterms:W3CDTF">2022-11-08T09:06:00Z</dcterms:modified>
</cp:coreProperties>
</file>