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9" w:rsidRPr="00C30339" w:rsidRDefault="00C30339">
      <w:pPr>
        <w:pStyle w:val="ConsPlusNormal"/>
        <w:jc w:val="center"/>
        <w:outlineLvl w:val="0"/>
        <w:rPr>
          <w:b/>
          <w:bCs/>
        </w:rPr>
      </w:pPr>
      <w:r w:rsidRPr="00C30339">
        <w:rPr>
          <w:b/>
          <w:bCs/>
        </w:rPr>
        <w:t>АДМИНИСТРАЦИЯ КУРСКОЙ ОБЛАСТИ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ПОСТАНОВЛЕНИЕ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от 24 октября 2013 г. № 778-па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ОБ УТВЕРЖДЕНИИ ГОСУДАРСТВЕННОЙ ПРОГРАММЫ КУРСКОЙ ОБЛАСТИ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"РАЗВИТИЕ ПРОМЫШЛЕННОСТИ В КУРСКОЙ ОБЛАСТИ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И ПОВЫШЕНИЕ ЕЕ КОНКУРЕНТОСПОСОБНОСТИ"</w:t>
      </w:r>
    </w:p>
    <w:p w:rsidR="00C30339" w:rsidRPr="00C30339" w:rsidRDefault="00C30339">
      <w:pPr>
        <w:pStyle w:val="ConsPlusNormal"/>
        <w:rPr>
          <w:sz w:val="24"/>
          <w:szCs w:val="24"/>
        </w:rPr>
      </w:pPr>
    </w:p>
    <w:p w:rsidR="00C30339" w:rsidRDefault="00C30339">
      <w:pPr>
        <w:pStyle w:val="ConsPlusNormal"/>
      </w:pPr>
    </w:p>
    <w:p w:rsidR="00C30339" w:rsidRPr="00C30339" w:rsidRDefault="00C30339" w:rsidP="00C30339">
      <w:pPr>
        <w:pStyle w:val="ConsPlusNormal"/>
        <w:jc w:val="center"/>
      </w:pPr>
      <w:r w:rsidRPr="00C30339">
        <w:t>Список изменяющих документов</w:t>
      </w:r>
    </w:p>
    <w:p w:rsidR="00C30339" w:rsidRPr="00C30339" w:rsidRDefault="00C30339" w:rsidP="00C30339">
      <w:pPr>
        <w:pStyle w:val="ConsPlusNormal"/>
        <w:jc w:val="center"/>
      </w:pPr>
      <w:proofErr w:type="gramStart"/>
      <w:r w:rsidRPr="00C30339">
        <w:t>(в ред. постановлений Администрации Курской области</w:t>
      </w:r>
      <w:proofErr w:type="gramEnd"/>
    </w:p>
    <w:p w:rsidR="00C30339" w:rsidRPr="00C30339" w:rsidRDefault="00C30339" w:rsidP="00C30339">
      <w:pPr>
        <w:pStyle w:val="ConsPlusNormal"/>
        <w:jc w:val="center"/>
      </w:pPr>
      <w:r w:rsidRPr="00C30339">
        <w:t>от 02.04.2014 № 200-па, от 02.04.2015 № 183-па, от 12.05.2016 № 294-па,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от 31.03.2017 № 272-па, от 21.11.2017 № 928-па, от 02.03.2018 № 173-па,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от 04.05.2018 № 370-па, от 24.09.2018 № 768-па, от 13.02.2019 № 87-па,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от 19.03.2019 № 216-па, от 05.09.2019 № 850-па, от 25.12.2019 № 1360-па,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от 31.07.2020 № 783-па, от 18.09.2020 № 944-па, от 21.12.2020 № 1339-па,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от 30.03.2021 № 305-па, от 10.08.2021 № 829-па, от 04.10.2021 № 1042-па,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от 29.12.2021 № 1529-па, от 19.01.2022 № 36-па, от 06.05.2022 № 523-па,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от 29.06.2022 № 710-па, от 30.12.2022 № 1673-па,</w:t>
      </w:r>
    </w:p>
    <w:p w:rsidR="00C30339" w:rsidRPr="00C30339" w:rsidRDefault="00C30339" w:rsidP="00C30339">
      <w:pPr>
        <w:pStyle w:val="ConsPlusNormal"/>
        <w:jc w:val="center"/>
      </w:pPr>
      <w:r w:rsidRPr="00C30339">
        <w:t>постановлений Правительства Курской области от 27.03.2023 № 346-пп,</w:t>
      </w:r>
    </w:p>
    <w:p w:rsidR="00C30339" w:rsidRDefault="00C30339" w:rsidP="00C30339">
      <w:pPr>
        <w:pStyle w:val="ConsPlusNormal"/>
      </w:pPr>
      <w:r w:rsidRPr="00C30339">
        <w:t>от 07.06.2023 № 616-пп, от 22.12.2023 № 1398-пп, от 19.03.2024 № 208-пп)</w:t>
      </w: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  <w:ind w:firstLine="540"/>
        <w:jc w:val="both"/>
      </w:pPr>
      <w:r w:rsidRPr="00C30339">
        <w:t>В соответствии со статьей 179 Бюджетного кодекса Российской Федерации Администрация Курской области постановляет: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1. Утвердить прилагаемую государственную программу Курской области "Развитие промышленности в Курской области и повышение ее конкурентоспособности".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 xml:space="preserve">2. Комитету промышленности, транспорта и связи Курской области (В.В. </w:t>
      </w:r>
      <w:proofErr w:type="spellStart"/>
      <w:r w:rsidRPr="00C30339">
        <w:t>Тойкер</w:t>
      </w:r>
      <w:proofErr w:type="spellEnd"/>
      <w:r w:rsidRPr="00C30339">
        <w:t>):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proofErr w:type="gramStart"/>
      <w:r w:rsidRPr="00C30339">
        <w:t>разместить утвержденную государственную программу Курской области "Развитие промышленности в Курской области и повышение ее конкурентоспособности" на своем официальном сайте, а также на официальном сайте Администрации Курской области (подраздел "Государственные программы Курской области" раздела "Документы")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 xml:space="preserve">в случае отклонения объемов финансирования за счет средств областного бюджета, определенных утвержденной государственной программой Курской области, от объемов финансирования государственной программы, утвержденных </w:t>
      </w:r>
      <w:r w:rsidRPr="00C30339">
        <w:lastRenderedPageBreak/>
        <w:t>Законом Курской области "Об областном бюджете на 2014 год и плановый период 2015 и 2016 годов" (далее - закон о бюджете), не позднее двух месяцев со дня вступления в силу указанного закона о бюджете представить в Администрацию Курской области</w:t>
      </w:r>
      <w:proofErr w:type="gramEnd"/>
      <w:r w:rsidRPr="00C30339">
        <w:t xml:space="preserve"> предложения </w:t>
      </w:r>
      <w:proofErr w:type="gramStart"/>
      <w:r w:rsidRPr="00C30339">
        <w:t>о приведении утвержденной государственной программы Курской области в соответствие с законом о бюджете в установленном порядке</w:t>
      </w:r>
      <w:proofErr w:type="gramEnd"/>
      <w:r w:rsidRPr="00C30339">
        <w:t>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3. Настоящее постановление вступает в силу со дня его официального опубликования.</w:t>
      </w: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  <w:jc w:val="right"/>
      </w:pPr>
      <w:r w:rsidRPr="00C30339">
        <w:t>Губернатор</w:t>
      </w:r>
    </w:p>
    <w:p w:rsidR="00C30339" w:rsidRPr="00C30339" w:rsidRDefault="00C30339">
      <w:pPr>
        <w:pStyle w:val="ConsPlusNormal"/>
        <w:jc w:val="right"/>
      </w:pPr>
      <w:r w:rsidRPr="00C30339">
        <w:t>Курской области</w:t>
      </w:r>
    </w:p>
    <w:p w:rsidR="00C30339" w:rsidRPr="00C30339" w:rsidRDefault="00C30339">
      <w:pPr>
        <w:pStyle w:val="ConsPlusNormal"/>
        <w:jc w:val="right"/>
      </w:pPr>
      <w:r w:rsidRPr="00C30339">
        <w:t>А.Н.МИХАЙЛОВ</w:t>
      </w: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  <w:jc w:val="right"/>
        <w:outlineLvl w:val="0"/>
      </w:pPr>
      <w:r w:rsidRPr="00C30339">
        <w:t>Утверждена</w:t>
      </w:r>
    </w:p>
    <w:p w:rsidR="00C30339" w:rsidRPr="00C30339" w:rsidRDefault="00C30339">
      <w:pPr>
        <w:pStyle w:val="ConsPlusNormal"/>
        <w:jc w:val="right"/>
      </w:pPr>
      <w:r w:rsidRPr="00C30339">
        <w:t>постановлением</w:t>
      </w:r>
    </w:p>
    <w:p w:rsidR="00C30339" w:rsidRPr="00C30339" w:rsidRDefault="00C30339">
      <w:pPr>
        <w:pStyle w:val="ConsPlusNormal"/>
        <w:jc w:val="right"/>
      </w:pPr>
      <w:r w:rsidRPr="00C30339">
        <w:t>Администрации Курской области</w:t>
      </w:r>
    </w:p>
    <w:p w:rsidR="00C30339" w:rsidRPr="00C30339" w:rsidRDefault="00C30339">
      <w:pPr>
        <w:pStyle w:val="ConsPlusNormal"/>
        <w:jc w:val="right"/>
      </w:pPr>
      <w:r w:rsidRPr="00C30339">
        <w:t>от 24 октября 2013 г. № 778-па</w:t>
      </w: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  <w:jc w:val="center"/>
        <w:rPr>
          <w:b/>
          <w:bCs/>
        </w:rPr>
      </w:pPr>
      <w:bookmarkStart w:id="0" w:name="Par42"/>
      <w:bookmarkEnd w:id="0"/>
      <w:r w:rsidRPr="00C30339">
        <w:rPr>
          <w:b/>
          <w:bCs/>
        </w:rPr>
        <w:t>ГОСУДАРСТВЕННАЯ ПРОГРАММА КУРСКОЙ ОБЛАСТИ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"РАЗВИТИЕ ПРОМЫШЛЕННОСТИ В КУРСКОЙ ОБЛАСТИ И ПОВЫШЕНИЕ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ЕЕ КОНКУРЕНТОСПОСОБНОСТИ"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(далее - государственная программа)</w:t>
      </w:r>
    </w:p>
    <w:p w:rsidR="00C30339" w:rsidRPr="00C30339" w:rsidRDefault="00C30339">
      <w:pPr>
        <w:pStyle w:val="ConsPlusNormal"/>
        <w:rPr>
          <w:sz w:val="24"/>
          <w:szCs w:val="24"/>
        </w:rPr>
      </w:pPr>
    </w:p>
    <w:p w:rsidR="00C30339" w:rsidRDefault="00C30339">
      <w:pPr>
        <w:pStyle w:val="ConsPlusNormal"/>
        <w:jc w:val="center"/>
      </w:pPr>
    </w:p>
    <w:p w:rsidR="00C30339" w:rsidRPr="00C30339" w:rsidRDefault="00C30339" w:rsidP="00C30339">
      <w:pPr>
        <w:pStyle w:val="ConsPlusNormal"/>
        <w:jc w:val="center"/>
      </w:pPr>
      <w:r w:rsidRPr="00C30339">
        <w:t>Список изменяющих документов</w:t>
      </w:r>
    </w:p>
    <w:p w:rsidR="00C30339" w:rsidRPr="00C30339" w:rsidRDefault="00C30339" w:rsidP="00C30339">
      <w:pPr>
        <w:pStyle w:val="ConsPlusNormal"/>
        <w:jc w:val="center"/>
      </w:pPr>
      <w:proofErr w:type="gramStart"/>
      <w:r w:rsidRPr="00C30339">
        <w:t>(в ред. постановления Правительства Курской области</w:t>
      </w:r>
      <w:proofErr w:type="gramEnd"/>
    </w:p>
    <w:p w:rsidR="00C30339" w:rsidRDefault="00C30339" w:rsidP="00C30339">
      <w:pPr>
        <w:pStyle w:val="ConsPlusNormal"/>
        <w:jc w:val="center"/>
      </w:pPr>
      <w:r w:rsidRPr="00C30339">
        <w:t>от 19.03.2024 № 208-пп)</w:t>
      </w:r>
    </w:p>
    <w:p w:rsidR="00C30339" w:rsidRPr="00C30339" w:rsidRDefault="00C30339">
      <w:pPr>
        <w:pStyle w:val="ConsPlusNormal"/>
        <w:jc w:val="center"/>
      </w:pPr>
    </w:p>
    <w:p w:rsidR="00C30339" w:rsidRPr="00C30339" w:rsidRDefault="00C30339">
      <w:pPr>
        <w:pStyle w:val="ConsPlusNormal"/>
        <w:jc w:val="center"/>
        <w:outlineLvl w:val="1"/>
        <w:rPr>
          <w:b/>
          <w:bCs/>
        </w:rPr>
      </w:pPr>
      <w:r w:rsidRPr="00C30339">
        <w:rPr>
          <w:b/>
          <w:bCs/>
        </w:rPr>
        <w:t>СТРАТЕГИЧЕСКИЕ ПРИОРИТЕТЫ ГОСУДАРСТВЕННОЙ ПРОГРАММЫ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>
      <w:pPr>
        <w:pStyle w:val="ConsPlusNormal"/>
        <w:jc w:val="center"/>
        <w:outlineLvl w:val="2"/>
        <w:rPr>
          <w:b/>
          <w:bCs/>
        </w:rPr>
      </w:pPr>
      <w:r w:rsidRPr="00C30339">
        <w:rPr>
          <w:b/>
          <w:bCs/>
        </w:rPr>
        <w:t>1. Оценка текущего состояния сферы реализации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государственной программы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>
      <w:pPr>
        <w:pStyle w:val="ConsPlusNormal"/>
        <w:ind w:firstLine="540"/>
        <w:jc w:val="both"/>
      </w:pPr>
      <w:r w:rsidRPr="00C30339">
        <w:t>Курская область - промышленно-аграрный регион в Центрально-Черноземной зоне России.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 xml:space="preserve">Промышленность Курской области представлена 4 основными видами экономической деятельности: "Добыча полезных ископаемых", </w:t>
      </w:r>
      <w:r w:rsidRPr="00C30339">
        <w:lastRenderedPageBreak/>
        <w:t>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Их совокупный удельный вес в добавленной стоимости в экономике региона в 2013 году составлял 35,5% общего объема валового регионального продукта (ВРП), в 2021 году - около 36% общего объема ВРП.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К числу наиболее значимых промышленных центров относятся наиболее населенные города Курской области - Курск и Железногорск.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Промышленный комплекс Курской области включает в себя около 1,5 тысячи предприятий (с учетом малых и средних), осуществляющих производственную деятельность в различных отраслях. На предприятиях работает около 100 тысяч человек, или 20% от общей численности занятых в экономике Курской области. Доля поступлений налоговых платежей от промышленности в бюджеты всех уровней традиционно составляет более 50%.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В структуре промышленного производства в 2022 году наибольшую долю составляют отрасли обрабатывающего производства, индекс промышленного производства по данному виду деятельности в 2022 году к предыдущему периоду составил 105,3%.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Обрабатывающий комплекс региона представлен 21 видом экономической деятельности. В 2022 году объем отгруженных товаров собственного производства, выполненных работ и услуг составил 348 млрд. рублей (в действующих ценах).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К основным отраслям обрабатывающего комплекса относятся: пищевая и перерабатывающая промышленность, фармацевтическая и химическая промышленность (производство лекарственных средств, резинотехнических изделий, химических волокон), машиностроение (производство электрического оборудования, электронных и оптических изделий, счетных машин, буровых установок и др.), целлюлозно-бумажное производство, легкая промышленность.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Наиболее значительный удельный вес в структуре обрабатывающих производств занимает производство пищевых продуктов и напитков - 57,8%, фармацевтическое и химическое производство - 11,6%. Объем отгруженных товаров собственного производства, выполненных работ и услуг в 2022 году по данным видам деятельности составил 201,0 млрд. рублей и 40,3 млрд. рублей соответственно.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Фармацевтическая и химическая промышленность. Удельный вес отраслей в отгруженной продукции обрабатывающих отраслей - 11,6%, численность занятых - более 8 тыс. человек.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proofErr w:type="gramStart"/>
      <w:r w:rsidRPr="00C30339">
        <w:t>Крупнейшими предприятиями отрасли являются ОАО "Фармстандарт-</w:t>
      </w:r>
      <w:proofErr w:type="spellStart"/>
      <w:r w:rsidRPr="00C30339">
        <w:lastRenderedPageBreak/>
        <w:t>Лексредства</w:t>
      </w:r>
      <w:proofErr w:type="spellEnd"/>
      <w:r w:rsidRPr="00C30339">
        <w:t>", выпускающее около 497 наименований лекарственных средств, относящихся к 27 основным фармакотерапевтическим группам, ОАО "</w:t>
      </w:r>
      <w:proofErr w:type="spellStart"/>
      <w:r w:rsidRPr="00C30339">
        <w:t>Курскрезинотехника</w:t>
      </w:r>
      <w:proofErr w:type="spellEnd"/>
      <w:r w:rsidRPr="00C30339">
        <w:t>" - основной производитель резинотканевых и резинотросовых конвейерных лент, рукавов высокого давления, формовых и неформовых резинотехнических изделий различного назначения, Курский филиал ООО "</w:t>
      </w:r>
      <w:proofErr w:type="spellStart"/>
      <w:r w:rsidRPr="00C30339">
        <w:t>Биаксплен</w:t>
      </w:r>
      <w:proofErr w:type="spellEnd"/>
      <w:r w:rsidRPr="00C30339">
        <w:t>", выпускающий полипропиленовую пленку для упаковки промышленных и пищевых товаров, ООО "</w:t>
      </w:r>
      <w:proofErr w:type="spellStart"/>
      <w:r w:rsidRPr="00C30339">
        <w:t>Курскхимволокно</w:t>
      </w:r>
      <w:proofErr w:type="spellEnd"/>
      <w:r w:rsidRPr="00C30339">
        <w:t>", производящее синтетические волокна, нити текстильные, технические, ткани кордные</w:t>
      </w:r>
      <w:proofErr w:type="gramEnd"/>
      <w:r w:rsidRPr="00C30339">
        <w:t xml:space="preserve"> капроновые.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Быстроразвивающимися направлениями обрабатывающих произво</w:t>
      </w:r>
      <w:proofErr w:type="gramStart"/>
      <w:r w:rsidRPr="00C30339">
        <w:t>дств в К</w:t>
      </w:r>
      <w:proofErr w:type="gramEnd"/>
      <w:r w:rsidRPr="00C30339">
        <w:t>урской области являются производство электронных изделий, электрического оборудования, машиностроение (удельный вес отраслей в отгруженной продукции обрабатывающих отраслей - 10,4%, численность занятых - более 15 тыс. человек). Ведущими предприятиями машиностроения являются АО "</w:t>
      </w:r>
      <w:proofErr w:type="spellStart"/>
      <w:r w:rsidRPr="00C30339">
        <w:t>Авиаавтоматика</w:t>
      </w:r>
      <w:proofErr w:type="spellEnd"/>
      <w:r w:rsidRPr="00C30339">
        <w:t>" им. В.В. Тарасова", АО "Электроагрегат", АО "Курский электроаппаратный завод" (АО "КЭАЗ"), АО "</w:t>
      </w:r>
      <w:proofErr w:type="spellStart"/>
      <w:r w:rsidRPr="00C30339">
        <w:t>Энерготекс</w:t>
      </w:r>
      <w:proofErr w:type="spellEnd"/>
      <w:r w:rsidRPr="00C30339">
        <w:t>", предприятия курской аккумуляторной площадки, ООО ПО "</w:t>
      </w:r>
      <w:proofErr w:type="spellStart"/>
      <w:r w:rsidRPr="00C30339">
        <w:t>Вагонмаш</w:t>
      </w:r>
      <w:proofErr w:type="spellEnd"/>
      <w:r w:rsidRPr="00C30339">
        <w:t>", АО "</w:t>
      </w:r>
      <w:proofErr w:type="spellStart"/>
      <w:r w:rsidRPr="00C30339">
        <w:t>Геомаш</w:t>
      </w:r>
      <w:proofErr w:type="spellEnd"/>
      <w:r w:rsidRPr="00C30339">
        <w:t xml:space="preserve">". Ключевая выпускаемая продукция преимущественно высокотехнологичная - средства передвижной энергетики, генераторы, </w:t>
      </w:r>
      <w:proofErr w:type="gramStart"/>
      <w:r w:rsidRPr="00C30339">
        <w:t>геолого-разведочное</w:t>
      </w:r>
      <w:proofErr w:type="gramEnd"/>
      <w:r w:rsidRPr="00C30339">
        <w:t xml:space="preserve"> и нефтепромысловое оборудование, средства вычислительной техники, низковольтная аппаратура, оборудование для атомной промышленности, аккумуляторы и т.д.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На базе АО "Курский электроаппаратный завод" и других предприятий электротехнической отрасли совместно с резидентами промышленного технопарка "Союз" создан научно-производственный электротехнический кластер.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Целлюлозно-бумажное производство, обработка древесины и производство изделий из дерева (удельный вес отраслей в отгруженной продукции обрабатывающих отраслей - 3,5%, численность занятых - около 2 тыс. человек). Ведущие предприятия - группа предприятий "ГОТЭК", один из крупнейших производителей упаковочных изделий в России, АО "</w:t>
      </w:r>
      <w:proofErr w:type="spellStart"/>
      <w:r w:rsidRPr="00C30339">
        <w:t>Изоплит</w:t>
      </w:r>
      <w:proofErr w:type="spellEnd"/>
      <w:r w:rsidRPr="00C30339">
        <w:t>" - производитель древесноволокнистых плит различного ассортимента и группа предприятий "Фабрика полиграфии и упаковки" - производитель полиграфической и упаковочной продукции, ООО "</w:t>
      </w:r>
      <w:proofErr w:type="spellStart"/>
      <w:r w:rsidRPr="00C30339">
        <w:t>Акватон</w:t>
      </w:r>
      <w:proofErr w:type="spellEnd"/>
      <w:r w:rsidRPr="00C30339">
        <w:t>" - производитель широкого спектра материалов для внутренней отделки.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Легкая промышленность (удельный вес отраслей в отгруженной продукции обрабатывающих отраслей - 1,6%, численность занятых - 6,7 тыс. человек). Крупнейшими предприятиями являются ООО "</w:t>
      </w:r>
      <w:proofErr w:type="spellStart"/>
      <w:r w:rsidRPr="00C30339">
        <w:t>Нипромтекс</w:t>
      </w:r>
      <w:proofErr w:type="spellEnd"/>
      <w:r w:rsidRPr="00C30339">
        <w:t xml:space="preserve">" - производитель нетканых материалов, синтепона, </w:t>
      </w:r>
      <w:proofErr w:type="spellStart"/>
      <w:r w:rsidRPr="00C30339">
        <w:t>геотекстиля</w:t>
      </w:r>
      <w:proofErr w:type="spellEnd"/>
      <w:r w:rsidRPr="00C30339">
        <w:t>, швейных изделий, АО "Курская фабрика технических тканей", выпускающее технические ткани, предназначенные для изготовления конвейерных лент, фильтровальные ткани и другую продукцию, ООО "</w:t>
      </w:r>
      <w:proofErr w:type="spellStart"/>
      <w:r w:rsidRPr="00C30339">
        <w:t>КурскОбувь</w:t>
      </w:r>
      <w:proofErr w:type="spellEnd"/>
      <w:r w:rsidRPr="00C30339">
        <w:t xml:space="preserve">", изготавливающее школьную и детскую обувь, ООО </w:t>
      </w:r>
      <w:r w:rsidRPr="00C30339">
        <w:lastRenderedPageBreak/>
        <w:t>"</w:t>
      </w:r>
      <w:proofErr w:type="spellStart"/>
      <w:r w:rsidRPr="00C30339">
        <w:t>Союзтекстиль</w:t>
      </w:r>
      <w:proofErr w:type="spellEnd"/>
      <w:r w:rsidRPr="00C30339">
        <w:t>-СТ" - производитель технического текстиля.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Показатели промышленного производства обрабатывающих отраслей Курской области в 2022 году приведены в таблице.</w:t>
      </w:r>
    </w:p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  <w:jc w:val="right"/>
        <w:outlineLvl w:val="3"/>
      </w:pPr>
      <w:r w:rsidRPr="00C30339">
        <w:t>Таблица</w:t>
      </w:r>
    </w:p>
    <w:p w:rsidR="00C30339" w:rsidRPr="00C30339" w:rsidRDefault="00C303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80"/>
        <w:gridCol w:w="1191"/>
        <w:gridCol w:w="1134"/>
        <w:gridCol w:w="1191"/>
        <w:gridCol w:w="1191"/>
        <w:gridCol w:w="964"/>
      </w:tblGrid>
      <w:tr w:rsidR="00C30339" w:rsidRPr="00C3033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Объем отгруженных товаров и услуг, млн.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Темп роста в 2022 г. к 2021 г., %</w:t>
            </w:r>
          </w:p>
        </w:tc>
      </w:tr>
      <w:tr w:rsidR="00C30339" w:rsidRPr="00C3033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2013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2020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2022 год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Производство пищевых продуктов, включая напитки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43980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100851,2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107588,8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150409,2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201016,6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133,6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Производство текстильных изделий и одежды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2908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4263,2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4477,4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5206,4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116,3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Производство кожи, изделий из кожи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685,1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497,7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529,9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370,1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69,8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768,8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820,7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1067,8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1208,3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113,2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 xml:space="preserve">Производство бумаги и бумажных изделий, деятельность полиграфическая и копирование </w:t>
            </w:r>
            <w:r w:rsidRPr="00C30339">
              <w:lastRenderedPageBreak/>
              <w:t>носителей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lastRenderedPageBreak/>
              <w:t>6308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8666,1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8473,4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10537,6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11112,3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105,5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lastRenderedPageBreak/>
              <w:t>Производство химических веществ и химических продуктов, в том числе производство лекарственных средств и материалов, применяемых в медицинских целях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16881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25270,2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37547,6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37150,9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40304,3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108,5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Производство резиновых и пластмассовых изделий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8441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18323,7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18150,8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23144,5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27868,9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120,4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Производство прочих неметаллических минеральных продуктов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2981,9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2964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3734,5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10017,5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в 2,7 р.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Металлургическое производство и производство готовых металлических изделий, кроме машин и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4532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3103,7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4334,2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15346,8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10442,1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68,1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Производство машин и оборудования, не включенных в другие группировки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5835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3746,8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2902,8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7647,0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263,4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 xml:space="preserve">Производство электрического </w:t>
            </w:r>
            <w:r w:rsidRPr="00C30339">
              <w:lastRenderedPageBreak/>
              <w:t>оборудования, компьютеров, электронных и оптических изделий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lastRenderedPageBreak/>
              <w:t>10415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17083,3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18139,4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20102,2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23999,1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119,4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lastRenderedPageBreak/>
              <w:t>Производство автотранспортных средств, прицепов и полуприцепов, производство прочих транспортных средств и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5162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6065,5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4679,3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5859,4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7981,2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136,2</w:t>
            </w:r>
          </w:p>
        </w:tc>
      </w:tr>
      <w:tr w:rsidR="00C30339" w:rsidRPr="00C3033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</w:pPr>
            <w:r w:rsidRPr="00C30339">
              <w:t>Производство прочих готовых изделий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1625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39" w:rsidRPr="00C30339" w:rsidRDefault="00C30339">
            <w:pPr>
              <w:pStyle w:val="ConsPlusNormal"/>
              <w:jc w:val="center"/>
            </w:pPr>
            <w:r w:rsidRPr="00C30339">
              <w:t>-</w:t>
            </w:r>
          </w:p>
        </w:tc>
      </w:tr>
    </w:tbl>
    <w:p w:rsidR="00C30339" w:rsidRPr="00C30339" w:rsidRDefault="00C30339">
      <w:pPr>
        <w:pStyle w:val="ConsPlusNormal"/>
      </w:pPr>
    </w:p>
    <w:p w:rsidR="00C30339" w:rsidRPr="00C30339" w:rsidRDefault="00C30339">
      <w:pPr>
        <w:pStyle w:val="ConsPlusNormal"/>
        <w:ind w:firstLine="540"/>
        <w:jc w:val="both"/>
      </w:pPr>
      <w:proofErr w:type="gramStart"/>
      <w:r w:rsidRPr="00C30339">
        <w:t>По итогам проведенного сравнительного анализа показателей 2021 и 2022 годов можно отметить, что в 2022 году значительно увеличился объем отгруженных товаров по следующим видам экономической деятельности: производство прочих неметаллических минеральных продуктов, производство машин и оборудования, не включенных в другие группировки, производство автотранспортных средств, прицепов и полуприцепов, производство прочих транспортных средств и оборудования, производство пищевых продуктов, включая напитки;</w:t>
      </w:r>
      <w:proofErr w:type="gramEnd"/>
      <w:r w:rsidRPr="00C30339">
        <w:t xml:space="preserve"> уменьшился объем отгруженных товаров по таким видам экономической деятельности, как металлургическое производство и производство готовых металлических изделий, кроме машин и оборудования, производство кожи, изделий из кожи.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Основными проблемами, ранее сдерживавшими развитие промышленного комплекса Курской области, являлись: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- недостаточный объем инвестиций в обновление технологической и технической базы, в том числе исследовательской и опытно-конструкторской;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- недостаток квалифицированных кадров, в том числе рабочих и инженерно-технических специальностей.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 xml:space="preserve">Мероприятия государственной программы направлены на решение указанных проблем. Анализ показывает, что недостаточность инвестиций в модернизацию производства в обрабатывающих секторах промышленного </w:t>
      </w:r>
      <w:r w:rsidRPr="00C30339">
        <w:lastRenderedPageBreak/>
        <w:t>комплекса Курской области преодолена, на период до 20230 года необходимо поддержание достигнутого уровня инвестиций, что позволит снижать степень изношенности основных фондов, обеспечивать своевременную разработку и выпуск в серийное производство новых видов конкурентоспособной продукции. Соответствующие мероприятия и объемы государственной поддержки предусмотрены.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>
      <w:pPr>
        <w:pStyle w:val="ConsPlusNormal"/>
        <w:jc w:val="center"/>
        <w:outlineLvl w:val="2"/>
        <w:rPr>
          <w:b/>
          <w:bCs/>
        </w:rPr>
      </w:pPr>
      <w:r w:rsidRPr="00C30339">
        <w:rPr>
          <w:b/>
          <w:bCs/>
        </w:rPr>
        <w:t>2. Описание приоритетов и целей государственной политики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в сфере реализации государственной программы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>
      <w:pPr>
        <w:pStyle w:val="ConsPlusNormal"/>
        <w:ind w:firstLine="540"/>
        <w:jc w:val="both"/>
      </w:pPr>
      <w:r w:rsidRPr="00C30339">
        <w:t>Приоритеты государственной политики в сфере реализации государственной программы определены в следующих документах: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Федеральный закон от 31 декабря 2014 года № 488-ФЗ "О промышленной политике в Российской Федерации";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Указ Президента Российской Федерации от 21 июля 2020 года № 474 "О национальных целях развития Российской Федерации на период до 2030 года";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Указ Президента Российской Федерации от 1 декабря 2016 года № 642 "О стратегии научно-технологического развития Российской Федерации";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Сводная стратегия развития обрабатывающей промышленности Российской Федерации до 2030 года и на период до 2035 года, утвержденная Распоряжением Правительства Российской Федерации от 6 июня 2020 г. № 1512-р;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- государственная программа Российской Федерации "Развитие промышленности и повышение ее конкурентоспособности", утвержденная Постановлением Правительства Российской Федерации от 15 апреля 2014 г. № 328;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- Закон Курской области от 16 декабря 2016 года № 108-ЗКО "О промышленной политике в Курской области";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- Закон Курской области от 14 декабря 2020 г. № 100-ЗКО "О Стратегии социально-экономического развития Курской области на период до 2030 года".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Указанными документами в качестве приоритетных направлений гражданской промышленности определены обрабатывающие направления промышленности (продуктовые и технологические направления в рамках отраслей), осуществление деятельности по которым способствует: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созданию новых экономически эффективных и экологически безопасных производств;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 xml:space="preserve">развитию промышленного производства в направлении диверсификации </w:t>
      </w:r>
      <w:r w:rsidRPr="00C30339">
        <w:lastRenderedPageBreak/>
        <w:t>номенклатуры и увеличение выпуска высокотехноло</w:t>
      </w:r>
      <w:bookmarkStart w:id="1" w:name="_GoBack"/>
      <w:bookmarkEnd w:id="1"/>
      <w:r w:rsidRPr="00C30339">
        <w:t>гичной продукции;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обеспечению технологического суверенитета, созданию импортозамещающих производств и локализация производственных цепочек в Российской Федерации;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 xml:space="preserve">созданию условий для продвижения российской </w:t>
      </w:r>
      <w:proofErr w:type="spellStart"/>
      <w:r w:rsidRPr="00C30339">
        <w:t>несырьевой</w:t>
      </w:r>
      <w:proofErr w:type="spellEnd"/>
      <w:r w:rsidRPr="00C30339">
        <w:t xml:space="preserve"> высокотехнологичной промышленной продукции и технологий на мировые рынки;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 xml:space="preserve">повышению </w:t>
      </w:r>
      <w:proofErr w:type="spellStart"/>
      <w:r w:rsidRPr="00C30339">
        <w:t>энергоэффективности</w:t>
      </w:r>
      <w:proofErr w:type="spellEnd"/>
      <w:r w:rsidRPr="00C30339">
        <w:t xml:space="preserve"> и ресурсосбережения.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>
      <w:pPr>
        <w:pStyle w:val="ConsPlusNormal"/>
        <w:jc w:val="center"/>
        <w:outlineLvl w:val="2"/>
        <w:rPr>
          <w:b/>
          <w:bCs/>
        </w:rPr>
      </w:pPr>
      <w:r w:rsidRPr="00C30339">
        <w:rPr>
          <w:b/>
          <w:bCs/>
        </w:rPr>
        <w:t>3. Задачи государственного управления, способы их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эффективного решения в соответствующей отрасли экономики</w:t>
      </w:r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и сфере государственного управления Курской области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>
      <w:pPr>
        <w:pStyle w:val="ConsPlusNormal"/>
        <w:ind w:firstLine="540"/>
        <w:jc w:val="both"/>
      </w:pPr>
      <w:r w:rsidRPr="00C30339">
        <w:t>В рамках реализации государственной политики в сфере реализации государственной программы предусмотрено достижение цели - обеспечение условий для развития промышленного комплекса Курской области за счет опережающего роста обрабатывающих отраслей.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Для достижения поставленной цели необходимо решить следующие задачи: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- создание условий для повышения квалификации работников промышленного комплекса Курской области;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- создание условий для привлечения инвестиций и увеличения объемов производства в промышленном комплексе Курской области.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Указанные задачи решаются, в том числе, следующими способами: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путем реализации комплекса процессных мероприятий "Содействие развитию кадрового потенциала организаций и предприятий промышленности Курской области, в том числе по основным рабочим специальностям";</w:t>
      </w:r>
    </w:p>
    <w:p w:rsidR="00C30339" w:rsidRPr="00C30339" w:rsidRDefault="00C30339">
      <w:pPr>
        <w:pStyle w:val="ConsPlusNormal"/>
        <w:spacing w:before="280"/>
        <w:ind w:firstLine="540"/>
        <w:jc w:val="both"/>
      </w:pPr>
      <w:r w:rsidRPr="00C30339">
        <w:t>путем реализации комплекса процессных мероприятий "Стимулирование развития процессов модернизации и технического перевооружения и увеличения объемов производства в промышленном комплексе Курской области".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>
      <w:pPr>
        <w:pStyle w:val="ConsPlusNormal"/>
        <w:jc w:val="center"/>
        <w:outlineLvl w:val="2"/>
        <w:rPr>
          <w:b/>
          <w:bCs/>
        </w:rPr>
      </w:pPr>
      <w:r w:rsidRPr="00C30339">
        <w:rPr>
          <w:b/>
          <w:bCs/>
        </w:rPr>
        <w:t xml:space="preserve">4. Задачи, определенные в соответствии с </w:t>
      </w:r>
      <w:proofErr w:type="gramStart"/>
      <w:r w:rsidRPr="00C30339">
        <w:rPr>
          <w:b/>
          <w:bCs/>
        </w:rPr>
        <w:t>национальными</w:t>
      </w:r>
      <w:proofErr w:type="gramEnd"/>
    </w:p>
    <w:p w:rsidR="00C30339" w:rsidRPr="00C30339" w:rsidRDefault="00C30339">
      <w:pPr>
        <w:pStyle w:val="ConsPlusNormal"/>
        <w:jc w:val="center"/>
        <w:rPr>
          <w:b/>
          <w:bCs/>
        </w:rPr>
      </w:pPr>
      <w:r w:rsidRPr="00C30339">
        <w:rPr>
          <w:b/>
          <w:bCs/>
        </w:rPr>
        <w:t>целями</w:t>
      </w:r>
    </w:p>
    <w:p w:rsidR="00C30339" w:rsidRPr="00C30339" w:rsidRDefault="00C30339">
      <w:pPr>
        <w:pStyle w:val="ConsPlusNormal"/>
        <w:ind w:firstLine="540"/>
        <w:jc w:val="both"/>
      </w:pPr>
    </w:p>
    <w:p w:rsidR="00C30339" w:rsidRPr="00C30339" w:rsidRDefault="00C30339" w:rsidP="00C30339">
      <w:pPr>
        <w:pStyle w:val="ConsPlusNormal"/>
        <w:ind w:firstLine="540"/>
        <w:jc w:val="both"/>
        <w:rPr>
          <w:sz w:val="2"/>
          <w:szCs w:val="2"/>
        </w:rPr>
      </w:pPr>
      <w:r w:rsidRPr="00C30339">
        <w:lastRenderedPageBreak/>
        <w:t>Государственная программа способствует реализации национальной цели "Достойный, эффективный труд и успешное предпринимательство", определенной Указом Президента Российской Федерации от 21 июля 2020 года № 474 "О национальных целях развития Российской Федерации на период до 2030 года", путем решения задач, предусмотренных государственной программой.</w:t>
      </w:r>
    </w:p>
    <w:p w:rsidR="001F51A6" w:rsidRPr="00C30339" w:rsidRDefault="00C30339"/>
    <w:sectPr w:rsidR="001F51A6" w:rsidRPr="00C30339" w:rsidSect="0064096B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39"/>
    <w:rsid w:val="00487EA3"/>
    <w:rsid w:val="009F3D13"/>
    <w:rsid w:val="00C3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39"/>
    <w:pPr>
      <w:widowControl w:val="0"/>
      <w:autoSpaceDE w:val="0"/>
      <w:autoSpaceDN w:val="0"/>
      <w:adjustRightInd w:val="0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39"/>
    <w:pPr>
      <w:widowControl w:val="0"/>
      <w:autoSpaceDE w:val="0"/>
      <w:autoSpaceDN w:val="0"/>
      <w:adjustRightInd w:val="0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Пользователь-10</dc:creator>
  <cp:lastModifiedBy>Пользователь-10</cp:lastModifiedBy>
  <cp:revision>1</cp:revision>
  <dcterms:created xsi:type="dcterms:W3CDTF">2024-04-04T06:54:00Z</dcterms:created>
  <dcterms:modified xsi:type="dcterms:W3CDTF">2024-04-04T06:59:00Z</dcterms:modified>
</cp:coreProperties>
</file>