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386A39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6685B">
        <w:rPr>
          <w:rFonts w:ascii="Times New Roman" w:hAnsi="Times New Roman" w:cs="Times New Roman"/>
          <w:sz w:val="24"/>
          <w:szCs w:val="24"/>
        </w:rPr>
        <w:t>о</w:t>
      </w:r>
      <w:r w:rsidR="00870FF1" w:rsidRPr="00E6685B">
        <w:rPr>
          <w:rFonts w:ascii="Times New Roman" w:hAnsi="Times New Roman" w:cs="Times New Roman"/>
          <w:sz w:val="24"/>
          <w:szCs w:val="24"/>
        </w:rPr>
        <w:t>т</w:t>
      </w:r>
      <w:r w:rsidRPr="00E6685B">
        <w:rPr>
          <w:rFonts w:ascii="Times New Roman" w:hAnsi="Times New Roman" w:cs="Times New Roman"/>
          <w:sz w:val="24"/>
          <w:szCs w:val="24"/>
        </w:rPr>
        <w:t xml:space="preserve"> </w:t>
      </w:r>
      <w:r w:rsidR="006341B9" w:rsidRPr="00E6685B">
        <w:rPr>
          <w:rFonts w:ascii="Times New Roman" w:hAnsi="Times New Roman" w:cs="Times New Roman"/>
          <w:sz w:val="24"/>
          <w:szCs w:val="24"/>
        </w:rPr>
        <w:t>1</w:t>
      </w:r>
      <w:r w:rsidR="00340F47" w:rsidRPr="00E6685B">
        <w:rPr>
          <w:rFonts w:ascii="Times New Roman" w:hAnsi="Times New Roman" w:cs="Times New Roman"/>
          <w:sz w:val="24"/>
          <w:szCs w:val="24"/>
        </w:rPr>
        <w:t>8</w:t>
      </w:r>
      <w:r w:rsidRPr="00E6685B">
        <w:rPr>
          <w:rFonts w:ascii="Times New Roman" w:hAnsi="Times New Roman" w:cs="Times New Roman"/>
          <w:sz w:val="24"/>
          <w:szCs w:val="24"/>
        </w:rPr>
        <w:t>.</w:t>
      </w:r>
      <w:r w:rsidR="00340F47" w:rsidRPr="00E6685B">
        <w:rPr>
          <w:rFonts w:ascii="Times New Roman" w:hAnsi="Times New Roman" w:cs="Times New Roman"/>
          <w:sz w:val="24"/>
          <w:szCs w:val="24"/>
        </w:rPr>
        <w:t>0</w:t>
      </w:r>
      <w:r w:rsidR="006341B9" w:rsidRPr="00E6685B">
        <w:rPr>
          <w:rFonts w:ascii="Times New Roman" w:hAnsi="Times New Roman" w:cs="Times New Roman"/>
          <w:sz w:val="24"/>
          <w:szCs w:val="24"/>
        </w:rPr>
        <w:t>5</w:t>
      </w:r>
      <w:r w:rsidRPr="00E6685B">
        <w:rPr>
          <w:rFonts w:ascii="Times New Roman" w:hAnsi="Times New Roman" w:cs="Times New Roman"/>
          <w:sz w:val="24"/>
          <w:szCs w:val="24"/>
        </w:rPr>
        <w:t>.202</w:t>
      </w:r>
      <w:r w:rsidR="00340F47" w:rsidRPr="00E6685B">
        <w:rPr>
          <w:rFonts w:ascii="Times New Roman" w:hAnsi="Times New Roman" w:cs="Times New Roman"/>
          <w:sz w:val="24"/>
          <w:szCs w:val="24"/>
        </w:rPr>
        <w:t>3</w:t>
      </w:r>
      <w:r w:rsidR="00870FF1" w:rsidRPr="00E6685B">
        <w:rPr>
          <w:rFonts w:ascii="Times New Roman" w:hAnsi="Times New Roman" w:cs="Times New Roman"/>
          <w:sz w:val="24"/>
          <w:szCs w:val="24"/>
        </w:rPr>
        <w:t xml:space="preserve"> № </w:t>
      </w:r>
      <w:r w:rsidR="006341B9" w:rsidRPr="00E6685B">
        <w:rPr>
          <w:rFonts w:ascii="Times New Roman" w:hAnsi="Times New Roman" w:cs="Times New Roman"/>
          <w:sz w:val="24"/>
          <w:szCs w:val="24"/>
        </w:rPr>
        <w:t>560</w:t>
      </w:r>
      <w:r w:rsidRPr="00E6685B">
        <w:rPr>
          <w:rFonts w:ascii="Times New Roman" w:hAnsi="Times New Roman" w:cs="Times New Roman"/>
          <w:sz w:val="24"/>
          <w:szCs w:val="24"/>
        </w:rPr>
        <w:t>-п</w:t>
      </w:r>
      <w:r w:rsidR="00340F47" w:rsidRPr="00E6685B">
        <w:rPr>
          <w:rFonts w:ascii="Times New Roman" w:hAnsi="Times New Roman" w:cs="Times New Roman"/>
          <w:sz w:val="24"/>
          <w:szCs w:val="24"/>
        </w:rPr>
        <w:t>п</w:t>
      </w:r>
      <w:r w:rsidR="00870FF1" w:rsidRPr="00E6685B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96D18"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096D18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проектов на принципах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096D18" w:rsidRPr="00B054D0" w:rsidRDefault="00B054D0" w:rsidP="00DF3CC5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в основной капитал на душу населения»; «Площадь </w:t>
            </w:r>
            <w:r w:rsidRPr="00B054D0">
              <w:rPr>
                <w:rFonts w:ascii="Times New Roman" w:hAnsi="Times New Roman" w:cs="Times New Roman"/>
              </w:rPr>
              <w:lastRenderedPageBreak/>
              <w:t>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4D0">
              <w:rPr>
                <w:rFonts w:ascii="Times New Roman" w:hAnsi="Times New Roman" w:cs="Times New Roman"/>
              </w:rPr>
              <w:t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  <w:r w:rsidR="00DF3CC5">
              <w:rPr>
                <w:rFonts w:ascii="Times New Roman" w:hAnsi="Times New Roman" w:cs="Times New Roman"/>
              </w:rPr>
              <w:t xml:space="preserve">; «Наличие единой системы сопровождения и поддержки региональных </w:t>
            </w:r>
            <w:proofErr w:type="spellStart"/>
            <w:r w:rsidR="00DF3CC5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="00DF3CC5">
              <w:rPr>
                <w:rFonts w:ascii="Times New Roman" w:hAnsi="Times New Roman" w:cs="Times New Roman"/>
              </w:rPr>
              <w:t xml:space="preserve"> (нарастающим итогом)</w:t>
            </w:r>
            <w:proofErr w:type="gramEnd"/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«Государственная поддержка инвестиционной и </w:t>
            </w:r>
            <w:proofErr w:type="gramStart"/>
            <w:r w:rsidRPr="005B3DF3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Увеличение числа реализуемых инвестиционных проектов. Сокращение сроков окупаемости проектов. </w:t>
            </w:r>
            <w:r w:rsidRPr="005B3DF3">
              <w:rPr>
                <w:rFonts w:ascii="Times New Roman" w:hAnsi="Times New Roman" w:cs="Times New Roman"/>
              </w:rPr>
              <w:lastRenderedPageBreak/>
              <w:t>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</w:t>
            </w:r>
            <w:r w:rsidR="00972F65">
              <w:rPr>
                <w:rFonts w:ascii="Times New Roman" w:hAnsi="Times New Roman" w:cs="Times New Roman"/>
              </w:rPr>
              <w:t>ода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 xml:space="preserve">еализация инвестиционных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</w:t>
            </w:r>
            <w:r w:rsidRPr="005B3DF3">
              <w:rPr>
                <w:rFonts w:ascii="Times New Roman" w:hAnsi="Times New Roman" w:cs="Times New Roman"/>
              </w:rPr>
              <w:lastRenderedPageBreak/>
              <w:t>инвестиций в основной капитал на душу населения»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>2</w:t>
            </w:r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5220DC" w:rsidRDefault="0056603E" w:rsidP="00ED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националь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проекта «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20</w:t>
            </w:r>
            <w:r w:rsidRPr="005220DC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</w:t>
            </w:r>
            <w:proofErr w:type="spellStart"/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spellEnd"/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Обеспечение достижения целей, показателей и результатов регионального проекта «Адресная поддержка повышения производительности </w:t>
            </w:r>
            <w:r w:rsidRPr="005220DC">
              <w:rPr>
                <w:rFonts w:ascii="Times New Roman" w:hAnsi="Times New Roman" w:cs="Times New Roman"/>
              </w:rPr>
              <w:lastRenderedPageBreak/>
              <w:t>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 xml:space="preserve">Обучение сотрудников предприятий - участников национального проекта под федеральным управлением (совместно с </w:t>
            </w:r>
            <w:r w:rsidRPr="005220DC">
              <w:rPr>
                <w:rFonts w:ascii="Times New Roman" w:hAnsi="Times New Roman" w:cs="Times New Roman"/>
              </w:rPr>
              <w:lastRenderedPageBreak/>
              <w:t xml:space="preserve">федеральным центром компетенций) и региональным управлением (совместно с экспертами регионального центра компетенций). 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Привлечение консультантов для работы на предприятиях – участниках национального проекта, внедряющих мероприятия по повышению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972F65" w:rsidRP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5220DC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 xml:space="preserve">Создание 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реаль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21-33</w:t>
            </w:r>
            <w:r w:rsidR="00F65D5F" w:rsidRPr="005220DC">
              <w:rPr>
                <w:rFonts w:ascii="Times New Roman" w:hAnsi="Times New Roman" w:cs="Times New Roman"/>
              </w:rPr>
              <w:t>.1</w:t>
            </w:r>
            <w:r w:rsidR="00B054D0" w:rsidRPr="005220DC">
              <w:rPr>
                <w:rFonts w:ascii="Times New Roman" w:hAnsi="Times New Roman" w:cs="Times New Roman"/>
              </w:rPr>
              <w:t xml:space="preserve"> </w:t>
            </w:r>
            <w:r w:rsidRPr="005220DC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="0056603E" w:rsidRPr="005B3DF3">
              <w:rPr>
                <w:rFonts w:ascii="Times New Roman" w:hAnsi="Times New Roman" w:cs="Times New Roman"/>
              </w:rPr>
              <w:t>п</w:t>
            </w:r>
            <w:r w:rsidR="0056603E"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 w:rsidR="0056603E"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 w:rsidR="0056603E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="0056603E">
              <w:rPr>
                <w:rFonts w:ascii="Times New Roman" w:hAnsi="Times New Roman" w:cs="Times New Roman"/>
              </w:rPr>
              <w:t xml:space="preserve"> </w:t>
            </w:r>
            <w:r w:rsidR="0056603E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lastRenderedPageBreak/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предоставле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гарантий по кредитам.</w:t>
            </w:r>
          </w:p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Привлечение льготных кредитных 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государственной 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</w:t>
            </w:r>
            <w:r w:rsidRPr="005B3DF3">
              <w:rPr>
                <w:rFonts w:ascii="Times New Roman" w:hAnsi="Times New Roman" w:cs="Times New Roman"/>
              </w:rPr>
              <w:lastRenderedPageBreak/>
              <w:t>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«Малый и средний 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данного основного мероприятия оказывает влияние на достижение значений всех показателей </w:t>
            </w:r>
            <w:r w:rsidRPr="005B3DF3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="0056603E"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6603E"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6603E"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56603E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</w:t>
            </w:r>
            <w:r w:rsidRPr="005B3DF3">
              <w:rPr>
                <w:rFonts w:ascii="Times New Roman" w:hAnsi="Times New Roman" w:cs="Times New Roman"/>
              </w:rPr>
              <w:lastRenderedPageBreak/>
              <w:t>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1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2.I2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гражданами», входящего в состав национального проекта «Малое и среднее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lastRenderedPageBreak/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lastRenderedPageBreak/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показателя 65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lastRenderedPageBreak/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    «Расширение доступа субъектов малого и среднего предпринимательства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к финансовым ресурсам,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>в том числе к льготному финансированию»)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</w:rPr>
            </w:pPr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ведения бизнеса» (наименование федерального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«Расширение доступа субъектов малого и среднего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 финансовым ресурсам, в том числе к льготному финансированию»),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lastRenderedPageBreak/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lastRenderedPageBreak/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58, 66, 67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lastRenderedPageBreak/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2.I5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«Акселерация субъектов малого и среднего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59, 60, 68, 69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«Популяризация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</w:t>
            </w:r>
            <w:r w:rsidRPr="00972F65">
              <w:rPr>
                <w:rFonts w:ascii="Times New Roman" w:eastAsiaTheme="minorHAnsi" w:hAnsi="Times New Roman" w:cs="Times New Roman"/>
              </w:rPr>
              <w:lastRenderedPageBreak/>
              <w:t xml:space="preserve">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lastRenderedPageBreak/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Министерство</w:t>
            </w:r>
            <w:r w:rsidR="002D1244" w:rsidRPr="005B3DF3">
              <w:rPr>
                <w:rFonts w:ascii="Times New Roman" w:hAnsi="Times New Roman" w:cs="Times New Roman"/>
              </w:rPr>
              <w:t>цифрового</w:t>
            </w:r>
            <w:proofErr w:type="spellEnd"/>
            <w:r w:rsidR="002D1244" w:rsidRPr="005B3DF3">
              <w:rPr>
                <w:rFonts w:ascii="Times New Roman" w:hAnsi="Times New Roman" w:cs="Times New Roman"/>
              </w:rPr>
              <w:t xml:space="preserve">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«Уровень удовлетворенности граждан Курской области </w:t>
            </w:r>
            <w:r w:rsidRPr="005B3DF3">
              <w:rPr>
                <w:rFonts w:ascii="Times New Roman" w:hAnsi="Times New Roman" w:cs="Times New Roman"/>
              </w:rPr>
              <w:lastRenderedPageBreak/>
              <w:t>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«Оптимизация предоставления 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2D1244" w:rsidRPr="005B3DF3">
              <w:rPr>
                <w:rFonts w:ascii="Times New Roman" w:hAnsi="Times New Roman" w:cs="Times New Roman"/>
              </w:rPr>
              <w:t>цифрового развития и 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стандарта предоставления 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t>Регламентация государственных и муниципальных 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2D1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D1244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D1244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2D1244">
              <w:rPr>
                <w:rFonts w:ascii="Times New Roman" w:hAnsi="Times New Roman" w:cs="Times New Roman"/>
              </w:rPr>
              <w:t xml:space="preserve"> Курской области</w:t>
            </w:r>
            <w:r w:rsidR="002D1244"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65D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Участие в международных и межрегиональных выставочно-ярмарочных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="002D1244" w:rsidRPr="005B3DF3">
              <w:rPr>
                <w:rFonts w:ascii="Times New Roman" w:hAnsi="Times New Roman" w:cs="Times New Roman"/>
              </w:rPr>
              <w:t xml:space="preserve">, </w:t>
            </w:r>
          </w:p>
          <w:p w:rsidR="002D1244" w:rsidRDefault="00ED461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</w:t>
            </w:r>
            <w:r w:rsidR="002D1244">
              <w:rPr>
                <w:rFonts w:ascii="Times New Roman" w:hAnsi="Times New Roman" w:cs="Times New Roman"/>
              </w:rPr>
              <w:t xml:space="preserve"> Курской области,</w:t>
            </w:r>
          </w:p>
          <w:p w:rsidR="002D1244" w:rsidRPr="005B3DF3" w:rsidRDefault="00340F47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="002D1244"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="002D1244" w:rsidRPr="005B3DF3">
              <w:rPr>
                <w:rFonts w:ascii="Times New Roman" w:hAnsi="Times New Roman" w:cs="Times New Roman"/>
              </w:rPr>
              <w:t>, т</w:t>
            </w:r>
            <w:r w:rsidR="002D1244"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 w:rsidR="002D1244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="002D1244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рынках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 xml:space="preserve">регионального экспортного </w:t>
            </w:r>
            <w:r w:rsidRPr="005B3DF3">
              <w:rPr>
                <w:rFonts w:ascii="Times New Roman" w:hAnsi="Times New Roman" w:cs="Times New Roman"/>
              </w:rPr>
              <w:lastRenderedPageBreak/>
              <w:t>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340F47" w:rsidRPr="005B3DF3" w:rsidTr="007B4E9D">
        <w:tc>
          <w:tcPr>
            <w:tcW w:w="713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340F47" w:rsidRPr="005B3DF3" w:rsidRDefault="00340F47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340F47" w:rsidRPr="005B3DF3" w:rsidRDefault="00340F47" w:rsidP="00DE2E6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340F47" w:rsidRPr="005B3DF3" w:rsidRDefault="00340F47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340F47" w:rsidRPr="005B3DF3" w:rsidRDefault="00340F47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Укрепление связей Курской области с 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соотечеств</w:t>
            </w:r>
            <w:r>
              <w:rPr>
                <w:rFonts w:ascii="Times New Roman" w:hAnsi="Times New Roman" w:cs="Times New Roman"/>
              </w:rPr>
              <w:t>енни-</w:t>
            </w:r>
            <w:r w:rsidRPr="005B3DF3">
              <w:rPr>
                <w:rFonts w:ascii="Times New Roman" w:hAnsi="Times New Roman" w:cs="Times New Roman"/>
              </w:rPr>
              <w:t>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области.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новых форм молодежного сотрудничества, создание условий для поддержки и развития талантливой </w:t>
            </w:r>
            <w:r w:rsidRPr="005B3DF3">
              <w:rPr>
                <w:rFonts w:ascii="Times New Roman" w:hAnsi="Times New Roman" w:cs="Times New Roman"/>
              </w:rPr>
              <w:lastRenderedPageBreak/>
              <w:t>молодежи</w:t>
            </w:r>
          </w:p>
        </w:tc>
        <w:tc>
          <w:tcPr>
            <w:tcW w:w="3117" w:type="dxa"/>
            <w:shd w:val="clear" w:color="auto" w:fill="auto"/>
          </w:tcPr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площадках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площадках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</w:t>
            </w:r>
            <w:r w:rsidRPr="005B3DF3">
              <w:rPr>
                <w:rFonts w:ascii="Times New Roman" w:hAnsi="Times New Roman" w:cs="Times New Roman"/>
              </w:rPr>
              <w:lastRenderedPageBreak/>
              <w:t>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координации процессов создания и эффективного </w:t>
            </w:r>
            <w:r w:rsidRPr="005B3DF3">
              <w:rPr>
                <w:rFonts w:ascii="Times New Roman" w:hAnsi="Times New Roman" w:cs="Times New Roman"/>
              </w:rPr>
              <w:lastRenderedPageBreak/>
              <w:t>функционирования 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 целевых системах мониторинга и управления (ЦСМУ) </w:t>
            </w:r>
            <w:r w:rsidRPr="005B3DF3">
              <w:rPr>
                <w:rFonts w:ascii="Times New Roman" w:hAnsi="Times New Roman" w:cs="Times New Roman"/>
              </w:rPr>
              <w:lastRenderedPageBreak/>
              <w:t>Курской области, 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>комплекса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5220DC">
            <w:pPr>
              <w:pStyle w:val="ConsPlusCell"/>
              <w:spacing w:line="240" w:lineRule="exact"/>
              <w:ind w:right="71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показатель  подпрограммы «Количество региональных базовых ЦСМУ, установленных в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исполнительной государственной власти Курской области»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</w:t>
            </w:r>
            <w:r w:rsidRPr="005B3DF3">
              <w:rPr>
                <w:rFonts w:ascii="Times New Roman" w:hAnsi="Times New Roman" w:cs="Times New Roman"/>
              </w:rPr>
              <w:lastRenderedPageBreak/>
              <w:t>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строительства и архитектуры </w:t>
            </w:r>
            <w:r w:rsidRPr="005B3DF3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lastRenderedPageBreak/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показатель  подпрограммы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«Количество региональных базовых ЦСМУ, установленных в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исполнительной государственной власти Курской области»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</w:t>
            </w:r>
            <w:r w:rsidRPr="005B3DF3">
              <w:rPr>
                <w:rFonts w:ascii="Times New Roman" w:hAnsi="Times New Roman" w:cs="Times New Roman"/>
              </w:rPr>
              <w:lastRenderedPageBreak/>
              <w:t>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  <w:p w:rsidR="005220DC" w:rsidRPr="005B3DF3" w:rsidRDefault="005220DC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6.10. «Создание подсистем региональной информационно-навигационной системы </w:t>
            </w:r>
            <w:r w:rsidRPr="005B3DF3">
              <w:rPr>
                <w:rFonts w:ascii="Times New Roman" w:hAnsi="Times New Roman" w:cs="Times New Roman"/>
              </w:rPr>
              <w:lastRenderedPageBreak/>
              <w:t>Курской области в учреждениях органов 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 xml:space="preserve"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</w:t>
            </w:r>
            <w:r w:rsidRPr="005B3DF3">
              <w:rPr>
                <w:rFonts w:ascii="Times New Roman" w:hAnsi="Times New Roman" w:cs="Times New Roman"/>
              </w:rPr>
              <w:lastRenderedPageBreak/>
              <w:t>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</w:t>
            </w:r>
            <w:r w:rsidRPr="005B3DF3"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управление </w:t>
            </w:r>
            <w:r w:rsidRPr="005B3DF3">
              <w:rPr>
                <w:rFonts w:ascii="Times New Roman" w:hAnsi="Times New Roman" w:cs="Times New Roman"/>
              </w:rPr>
              <w:lastRenderedPageBreak/>
              <w:t>ветеринарии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условий для повышения эффективности управления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</w:t>
            </w:r>
            <w:r w:rsidRPr="005B3DF3">
              <w:rPr>
                <w:rFonts w:ascii="Times New Roman" w:hAnsi="Times New Roman" w:cs="Times New Roman"/>
              </w:rPr>
              <w:lastRenderedPageBreak/>
              <w:t>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</w:t>
            </w:r>
            <w:r w:rsidRPr="005B3DF3">
              <w:rPr>
                <w:rFonts w:ascii="Times New Roman" w:hAnsi="Times New Roman" w:cs="Times New Roman"/>
              </w:rPr>
              <w:lastRenderedPageBreak/>
              <w:t>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</w:t>
            </w:r>
            <w:r w:rsidRPr="005B3DF3">
              <w:rPr>
                <w:rFonts w:ascii="Times New Roman" w:hAnsi="Times New Roman" w:cs="Times New Roman"/>
              </w:rPr>
              <w:lastRenderedPageBreak/>
              <w:t>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</w:t>
            </w:r>
            <w:r w:rsidR="00340F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6341B9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</w:t>
            </w:r>
            <w:r w:rsidR="006341B9">
              <w:rPr>
                <w:rFonts w:ascii="Times New Roman" w:hAnsi="Times New Roman" w:cs="Times New Roman"/>
              </w:rPr>
              <w:t xml:space="preserve">рганов местного самоуправления </w:t>
            </w:r>
            <w:r w:rsidRPr="005B3DF3">
              <w:rPr>
                <w:rFonts w:ascii="Times New Roman" w:hAnsi="Times New Roman" w:cs="Times New Roman"/>
              </w:rPr>
              <w:t>городских округов и муниципальных районов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Pr="007B4E9D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1B9" w:rsidRPr="0051107F" w:rsidTr="006341B9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6341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Основное мероприятие 7.04.</w:t>
            </w:r>
          </w:p>
          <w:p w:rsidR="006341B9" w:rsidRPr="00E6685B" w:rsidRDefault="006341B9" w:rsidP="006341B9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«Специальные меры поддержки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6341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 w:rsidRPr="00E6685B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E6685B"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 w:rsidRPr="00E6685B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E6685B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8477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84774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Создание благоприятных условий для восстановления или поддержания деятельности хозяйствующих субъектов </w:t>
            </w:r>
          </w:p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lastRenderedPageBreak/>
              <w:t>Предоставление грантов в форме субсидий субъектам</w:t>
            </w:r>
          </w:p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85B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proofErr w:type="gramEnd"/>
            <w:r w:rsidRPr="00E6685B">
              <w:rPr>
                <w:rFonts w:ascii="Times New Roman" w:hAnsi="Times New Roman" w:cs="Times New Roman"/>
              </w:rPr>
              <w:t xml:space="preserve"> деятельности, а также физическим </w:t>
            </w:r>
            <w:r w:rsidRPr="00E6685B">
              <w:rPr>
                <w:rFonts w:ascii="Times New Roman" w:hAnsi="Times New Roman" w:cs="Times New Roman"/>
              </w:rPr>
              <w:lastRenderedPageBreak/>
              <w:t>лицам,</w:t>
            </w:r>
          </w:p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85B">
              <w:rPr>
                <w:rFonts w:ascii="Times New Roman" w:hAnsi="Times New Roman" w:cs="Times New Roman"/>
              </w:rPr>
              <w:t>применяющим</w:t>
            </w:r>
            <w:proofErr w:type="gramEnd"/>
            <w:r w:rsidRPr="00E6685B">
              <w:rPr>
                <w:rFonts w:ascii="Times New Roman" w:hAnsi="Times New Roman" w:cs="Times New Roman"/>
              </w:rPr>
              <w:t xml:space="preserve"> специальный налоговый режим «Налог</w:t>
            </w:r>
          </w:p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E6685B">
              <w:rPr>
                <w:rFonts w:ascii="Times New Roman" w:hAnsi="Times New Roman" w:cs="Times New Roman"/>
              </w:rPr>
              <w:t>профессиональ-ный</w:t>
            </w:r>
            <w:proofErr w:type="spellEnd"/>
            <w:proofErr w:type="gramEnd"/>
            <w:r w:rsidRPr="00E6685B">
              <w:rPr>
                <w:rFonts w:ascii="Times New Roman" w:hAnsi="Times New Roman" w:cs="Times New Roman"/>
              </w:rPr>
              <w:t xml:space="preserve"> доход», на восстановление и (или) поддержание</w:t>
            </w:r>
          </w:p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B9" w:rsidRPr="00E6685B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значения показателя подпрограммы «Количество субъектов предпринимательской деятельности, а также</w:t>
            </w:r>
          </w:p>
          <w:p w:rsidR="006341B9" w:rsidRPr="006341B9" w:rsidRDefault="006341B9" w:rsidP="006341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85B">
              <w:rPr>
                <w:rFonts w:ascii="Times New Roman" w:hAnsi="Times New Roman" w:cs="Times New Roman"/>
              </w:rPr>
              <w:t xml:space="preserve">физических лиц, </w:t>
            </w:r>
            <w:r w:rsidRPr="00E6685B">
              <w:rPr>
                <w:rFonts w:ascii="Times New Roman" w:hAnsi="Times New Roman" w:cs="Times New Roman"/>
              </w:rPr>
              <w:lastRenderedPageBreak/>
              <w:t>применяющих специальный налоговый режим «Налог на профессиональный доход», получивших гранты на восстановление и (или) поддержание деятельности»</w:t>
            </w:r>
          </w:p>
        </w:tc>
      </w:tr>
    </w:tbl>
    <w:p w:rsidR="000F2E34" w:rsidRPr="008932BE" w:rsidRDefault="000F2E34" w:rsidP="006341B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972F6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5" w:rsidRDefault="00972F65" w:rsidP="00133906">
      <w:pPr>
        <w:spacing w:after="0" w:line="240" w:lineRule="auto"/>
      </w:pPr>
      <w:r>
        <w:separator/>
      </w:r>
    </w:p>
  </w:endnote>
  <w:end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5" w:rsidRDefault="00972F65" w:rsidP="00133906">
      <w:pPr>
        <w:spacing w:after="0" w:line="240" w:lineRule="auto"/>
      </w:pPr>
      <w:r>
        <w:separator/>
      </w:r>
    </w:p>
  </w:footnote>
  <w:foot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972F65" w:rsidRDefault="00B855F9">
        <w:pPr>
          <w:pStyle w:val="a4"/>
          <w:jc w:val="center"/>
        </w:pPr>
        <w:fldSimple w:instr=" PAGE   \* MERGEFORMAT ">
          <w:r w:rsidR="00E6685B">
            <w:rPr>
              <w:noProof/>
            </w:rPr>
            <w:t>71</w:t>
          </w:r>
        </w:fldSimple>
      </w:p>
    </w:sdtContent>
  </w:sdt>
  <w:p w:rsidR="00972F65" w:rsidRDefault="00972F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972F65" w:rsidRDefault="00B855F9">
        <w:pPr>
          <w:pStyle w:val="a4"/>
          <w:jc w:val="center"/>
        </w:pPr>
        <w:fldSimple w:instr=" PAGE   \* MERGEFORMAT ">
          <w:r w:rsidR="00972F65">
            <w:rPr>
              <w:noProof/>
            </w:rPr>
            <w:t>60</w:t>
          </w:r>
        </w:fldSimple>
      </w:p>
    </w:sdtContent>
  </w:sdt>
  <w:p w:rsidR="00972F65" w:rsidRDefault="00972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6057F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2958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3809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0F47"/>
    <w:rsid w:val="00342119"/>
    <w:rsid w:val="00344059"/>
    <w:rsid w:val="00350101"/>
    <w:rsid w:val="003606FF"/>
    <w:rsid w:val="0036269E"/>
    <w:rsid w:val="003723F8"/>
    <w:rsid w:val="00375EA9"/>
    <w:rsid w:val="0038035C"/>
    <w:rsid w:val="00381410"/>
    <w:rsid w:val="00384EB9"/>
    <w:rsid w:val="00386A3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0DC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2257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41B9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0629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95F66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C09F2"/>
    <w:rsid w:val="008D40C1"/>
    <w:rsid w:val="008D4B54"/>
    <w:rsid w:val="008D50D1"/>
    <w:rsid w:val="008F2482"/>
    <w:rsid w:val="008F73BB"/>
    <w:rsid w:val="00904215"/>
    <w:rsid w:val="00911CFF"/>
    <w:rsid w:val="0091689E"/>
    <w:rsid w:val="009270B4"/>
    <w:rsid w:val="009314FB"/>
    <w:rsid w:val="009432B3"/>
    <w:rsid w:val="00950B3F"/>
    <w:rsid w:val="0096274E"/>
    <w:rsid w:val="00963FEB"/>
    <w:rsid w:val="00965726"/>
    <w:rsid w:val="00972F65"/>
    <w:rsid w:val="00974E35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3392C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855F9"/>
    <w:rsid w:val="00B91FA2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0A8D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6685B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B4F01"/>
    <w:rsid w:val="00ED4614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65D5F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5868-A036-4D2D-962A-01365F6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3728</Words>
  <Characters>31418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Наталья Макаренко</cp:lastModifiedBy>
  <cp:revision>7</cp:revision>
  <cp:lastPrinted>2022-10-28T08:21:00Z</cp:lastPrinted>
  <dcterms:created xsi:type="dcterms:W3CDTF">2022-11-14T10:08:00Z</dcterms:created>
  <dcterms:modified xsi:type="dcterms:W3CDTF">2023-05-23T07:40:00Z</dcterms:modified>
</cp:coreProperties>
</file>