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r w:rsidRPr="00776520">
        <w:rPr>
          <w:bCs/>
        </w:rPr>
        <w:t xml:space="preserve">(в редакции постановления Администрации Курской области </w:t>
      </w:r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C30DB9">
        <w:rPr>
          <w:bCs/>
        </w:rPr>
        <w:t>06</w:t>
      </w:r>
      <w:r w:rsidR="003709FA">
        <w:rPr>
          <w:bCs/>
        </w:rPr>
        <w:t>.</w:t>
      </w:r>
      <w:r w:rsidR="00C30DB9">
        <w:rPr>
          <w:bCs/>
        </w:rPr>
        <w:t>10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BA470A">
        <w:rPr>
          <w:bCs/>
        </w:rPr>
        <w:t>2</w:t>
      </w:r>
      <w:r w:rsidR="00EE25B2" w:rsidRPr="00776520">
        <w:rPr>
          <w:bCs/>
        </w:rPr>
        <w:t xml:space="preserve"> № </w:t>
      </w:r>
      <w:r w:rsidR="00C30DB9">
        <w:rPr>
          <w:bCs/>
        </w:rPr>
        <w:t>1102</w:t>
      </w:r>
      <w:r w:rsidR="00BA470A">
        <w:rPr>
          <w:bCs/>
        </w:rPr>
        <w:t>-п</w:t>
      </w:r>
      <w:r w:rsidR="00026B39">
        <w:rPr>
          <w:bCs/>
        </w:rPr>
        <w:t>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молодеж</w:t>
            </w:r>
            <w:r w:rsidR="00251795">
              <w:rPr>
                <w:sz w:val="24"/>
                <w:szCs w:val="24"/>
              </w:rPr>
              <w:t xml:space="preserve">ной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самозанятыми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исключен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(тыс.человек);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количество подписанных документов о сотрудничестве со странами и регионами ближнего и </w:t>
            </w:r>
            <w:r w:rsidRPr="00B570E6">
              <w:rPr>
                <w:sz w:val="24"/>
                <w:szCs w:val="24"/>
              </w:rPr>
              <w:lastRenderedPageBreak/>
              <w:t>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2014 - 2024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A04E01" w:rsidRPr="000B59E1">
              <w:rPr>
                <w:sz w:val="24"/>
                <w:szCs w:val="24"/>
              </w:rPr>
              <w:t>7 771 083,368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2 048 615,170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A04E01" w:rsidRPr="000B59E1">
              <w:rPr>
                <w:sz w:val="24"/>
                <w:szCs w:val="24"/>
              </w:rPr>
              <w:t>656 130,019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A04E01" w:rsidRPr="000B59E1">
              <w:rPr>
                <w:sz w:val="24"/>
                <w:szCs w:val="24"/>
              </w:rPr>
              <w:t>642 126,419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A04E01" w:rsidRPr="000B59E1">
              <w:rPr>
                <w:sz w:val="24"/>
                <w:szCs w:val="24"/>
              </w:rPr>
              <w:t>6 424 702,886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1 975 732,870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A04E01" w:rsidRPr="000B59E1">
              <w:rPr>
                <w:sz w:val="24"/>
                <w:szCs w:val="24"/>
              </w:rPr>
              <w:t>571 567,819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0B59E1">
              <w:rPr>
                <w:sz w:val="24"/>
                <w:szCs w:val="24"/>
              </w:rPr>
              <w:t>571 567,819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средства федерального бюджета, предоставленные бюджету Курской области (субсидии), - </w:t>
            </w:r>
            <w:r w:rsidRPr="009D7AEC">
              <w:rPr>
                <w:sz w:val="24"/>
                <w:szCs w:val="24"/>
              </w:rPr>
              <w:lastRenderedPageBreak/>
              <w:t>1</w:t>
            </w:r>
            <w:r w:rsidR="00BA470A">
              <w:rPr>
                <w:sz w:val="24"/>
                <w:szCs w:val="24"/>
              </w:rPr>
              <w:t> </w:t>
            </w:r>
            <w:r w:rsidR="00EB4544">
              <w:rPr>
                <w:sz w:val="24"/>
                <w:szCs w:val="24"/>
              </w:rPr>
              <w:t>34</w:t>
            </w:r>
            <w:r w:rsidR="00BA470A">
              <w:rPr>
                <w:sz w:val="24"/>
                <w:szCs w:val="24"/>
              </w:rPr>
              <w:t>6 380,482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82FAB">
              <w:rPr>
                <w:sz w:val="24"/>
                <w:szCs w:val="24"/>
              </w:rPr>
              <w:t>84 562,200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382FAB">
              <w:rPr>
                <w:sz w:val="24"/>
                <w:szCs w:val="24"/>
              </w:rPr>
              <w:t>70 558,600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9 018 743,000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исключен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11</w:t>
            </w:r>
            <w:r w:rsidR="00A32CA6">
              <w:rPr>
                <w:sz w:val="24"/>
                <w:szCs w:val="24"/>
              </w:rPr>
              <w:t>6,3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2024 годы четырех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численности занятых в сфере малого и среднего предпринимательства, включая индивидуальных предпринимателей и самозанятых, до 140,2 тыс. человек в 2024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 xml:space="preserve">количества подписанных документов о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2024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2024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проведение мероприятий на площадках Россотрудничества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lastRenderedPageBreak/>
        <w:t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ООО НПО «Композит» (бывшее ЗАО НПО «Композит») </w:t>
      </w:r>
      <w:r w:rsidRPr="00CC2F02">
        <w:noBreakHyphen/>
        <w:t xml:space="preserve"> 35,6 млн. рублей, ООО «Полимерпак» </w:t>
      </w:r>
      <w:r w:rsidRPr="00CC2F02">
        <w:noBreakHyphen/>
        <w:t xml:space="preserve"> 0,5 млн. рублей, ООО ПО «Вагонмаш»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«Агропромкомплектация – Курск»  «Строительство племенной фермы (Нуклеус) в Железногорском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>№ 927-ра земельному участку, расположенному на территории Щетинского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>В целях повышения информационной открытости региона в 2012 - 2019 годах органами</w:t>
      </w:r>
      <w:bookmarkStart w:id="0" w:name="_GoBack"/>
      <w:bookmarkEnd w:id="0"/>
      <w:r w:rsidRPr="000B59E1">
        <w:t xml:space="preserve">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имиджевые мероприятия, нацеленные на позиционирование Курской области как </w:t>
      </w:r>
      <w:r w:rsidRPr="000B59E1">
        <w:lastRenderedPageBreak/>
        <w:t>инвестиционно-привлекательного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Завершена реализация на Михайловском ГОКе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Горшеченском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Введены в эксплуатацию мясохладобойни «Надежда» в Суджанском районе, «Подлесное» и «Полянское» в Курском районе,  «Псельское» в Беловском районе, Курский филиал Губкинского мясокомбината в городе Курске и «Нива-Черноземья»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«Агропромкомплектация-Курск» в поселке Линец Железногорского района и компанией «Глобал-Трейд»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последние пять лет приступили к работе 5 комбикормовых заводов, проведена реконструкция комбикормового производства в ОАО «Щигровский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Суджанском, Беловском, Хомутовском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Возобновлено производство на ООО «Молоко» и на Большесолдатском маслозаводе; введены в эксплуатацию цеха по переработке молока в Дмитриевском, Золотухинском, Октябрьском и </w:t>
      </w:r>
      <w:r w:rsidRPr="00CC2F02">
        <w:lastRenderedPageBreak/>
        <w:t xml:space="preserve">Касторенском районах; компанией ООО «Курское молоко» в Курске построено  современное предприятие по переработке молока, компанией «Милкиленд» осуществлена модернизация Рыльского сырзавода, в ООО «Сырная долина» в Курском районе введен в эксплуатацию новый цех.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>Отдельные показатели социально-экономического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BA137F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микрофинансирования.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lastRenderedPageBreak/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Осуществлены мероприятия по организации деятельности регионального представительства Евро Инфо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 xml:space="preserve">021-р, в Курской области проведена работа, направленная на снижение административных барьеров, оптимизацию и повышение качества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разработаны и приняты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</w:t>
      </w:r>
      <w:r w:rsidRPr="00CC2F02">
        <w:rPr>
          <w:rFonts w:eastAsiaTheme="minorHAnsi"/>
          <w:lang w:eastAsia="en-US"/>
        </w:rPr>
        <w:lastRenderedPageBreak/>
        <w:t>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(ТОСПов) в сельских (городских) поселениях с численностью населения свыше 1000 человек. В ТОСПах организована работа 141 окна обслуживания населения. При этом перечень услуг в ТОСПах такой же, как и в  филиале МФЦ. В 2015 году в ТОСПы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  <w:t>Достигнуты договоренности и готовятся к подписанию соглашения и протоколы о сотрудничестве с Пловдивской областью Республики Болгария, штатом Бихар Республики Индия, Акиматом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«Белкоммунмаш» на базе МУП «Курскэлектротранс». </w:t>
      </w:r>
      <w:r w:rsidRPr="00CC2F02">
        <w:tab/>
        <w:t xml:space="preserve">В июле 2015 года начало свою деятельность совместное российско-вьетнамское предприятие ООО «ХАНОЙ» по </w:t>
      </w:r>
      <w:r w:rsidRPr="00CC2F02">
        <w:lastRenderedPageBreak/>
        <w:t>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Площадкой для позиционирования Курской области на международном рынке является Курская Коренская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(Россотрудничества)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Россотрудничества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бизнес-структур и общественных организаций соотечественников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</w:t>
      </w:r>
      <w:r w:rsidRPr="00CC2F02">
        <w:lastRenderedPageBreak/>
        <w:t xml:space="preserve">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</w:p>
    <w:p w:rsidR="00BF6070" w:rsidRPr="00CC2F02" w:rsidRDefault="00BA137F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lastRenderedPageBreak/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к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>прогноз социально-экономического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Разработаны и утверждены: 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подготовленной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осваивать и выпускать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</w:t>
      </w:r>
      <w:r w:rsidRPr="00CC2F02">
        <w:lastRenderedPageBreak/>
        <w:t>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уровне.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>несоответствие части помещений филиалов многофункциональных центров предоставления государственных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моноструктурный характер экспорта Курской области, в связи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неблагоприятная внешнеэкономическая конъюнктура, которая привела к необходимости переориентирования региональных производителей на внутренний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сертификации системы менеджмента качества предприятий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ограниченные финансовые возможности у предприятий области на проведение рекламно-представительской работы в других странах путем участия в различного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>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</w:t>
      </w:r>
      <w:r w:rsidRPr="00CC2F02">
        <w:lastRenderedPageBreak/>
        <w:t>стратегического планирования, разрабатываемыми и утверждаемыми федеральными органами, - не более пяти месяцев с даты размещения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обеспечение развития и укрепления торгово – экономического, научно-технического и гуманитарно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lastRenderedPageBreak/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 особой экономической зоны промышленно-производственного типа;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достигнут в 2024 году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по отношению к 2020 году;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привлечены за 2022-2024 годы четыре резидента особой экономической зоны промышленно-производственного типа;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lastRenderedPageBreak/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исключен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2022-2024 годы четырех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самозанятых, до 140,2 тыс. человек в 2024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к 2018</w:t>
      </w:r>
      <w:r w:rsidRPr="00B570E6">
        <w:t xml:space="preserve"> году;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lastRenderedPageBreak/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1010C0" w:rsidRPr="00B570E6">
        <w:t>4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проведение мероприятий на площадках Россотрудничества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1010C0" w:rsidRPr="00B570E6">
        <w:t>4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2019-2024 годы.</w:t>
      </w:r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lastRenderedPageBreak/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>Указанный показатель рассчитывается на основании методики, утверждаемой Министерством экономического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Кнз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x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Кобщ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Кобщ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Чмсп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x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Чобщая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>Чобщая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>. Численность занятых в сфере малого и среднего предпринимательства, включая индивидуальных предпринимателей и самозанятых.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Ур.уд. = --------- x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Гр.опр.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Ур.уд.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Гр.уд. - количество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Гр.опр.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</w:t>
      </w:r>
      <w:r w:rsidRPr="00B570E6">
        <w:rPr>
          <w:rFonts w:eastAsia="Calibri"/>
        </w:rPr>
        <w:lastRenderedPageBreak/>
        <w:t xml:space="preserve">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определение органа исполнительной власти субъекта Российской Федерации, ответственного за развитие несырьевого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>организация обучения экспортно ориентированных субъектов предпринимательства основам экспортной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lastRenderedPageBreak/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ММG):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BA137F" w:rsidP="00F14F74">
      <w:pPr>
        <w:ind w:firstLine="709"/>
        <w:jc w:val="both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4.9pt;margin-top:3.35pt;width:7.5pt;height:9.75pt;z-index:251658240"/>
        </w:pict>
      </w:r>
      <w:r w:rsidR="00F14F74" w:rsidRPr="00B570E6">
        <w:t xml:space="preserve">ММG  = (ММG : ММ) х 100 %, </w:t>
      </w:r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ММG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r w:rsidRPr="00B570E6">
        <w:t>ММ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>Данные показатели рассчитываются на основании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контроля за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К1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Р = ----- x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К2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К1 -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К2 -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BA137F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инновационной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 xml:space="preserve">создание и (или) развитие инфраструктуры поддержки субъектов малого и среднего предпринимательства, оказывающей имущественную </w:t>
      </w:r>
      <w:r w:rsidRPr="00B570E6">
        <w:lastRenderedPageBreak/>
        <w:t>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 xml:space="preserve"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</w:t>
      </w:r>
      <w:r w:rsidRPr="00B570E6">
        <w:lastRenderedPageBreak/>
        <w:t>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региональной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</w:t>
      </w:r>
      <w:r w:rsidRPr="00B570E6">
        <w:lastRenderedPageBreak/>
        <w:t>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для обучения, разработка примерной программы,  методики и  учебно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BA137F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0820E1">
      <w:pPr>
        <w:ind w:firstLine="709"/>
        <w:jc w:val="both"/>
      </w:pPr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Инструменты таможенно-тарифного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</w:t>
      </w:r>
      <w:r w:rsidRPr="00CC2F02">
        <w:lastRenderedPageBreak/>
        <w:t>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формирование и использование геоинформационных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социально-экономического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Коренская ярмарка» и областное бюджетное учреждение «Курскконтролькачества».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lastRenderedPageBreak/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</w:t>
      </w:r>
      <w:r w:rsidRPr="00CC2F02">
        <w:lastRenderedPageBreak/>
        <w:t>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343168" w:rsidRDefault="001846C3" w:rsidP="001846C3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 (далее – Корпорация), ОБУК «Курская областная государственная филармония», областного бюджетного учреждения «Областной центр туризма», автономного учреждения Курской области «Телевизионная и радиовещательная компания «Сейм»;</w:t>
      </w:r>
    </w:p>
    <w:p w:rsidR="001846C3" w:rsidRPr="00CC2F02" w:rsidRDefault="001846C3" w:rsidP="00704431">
      <w:pPr>
        <w:pStyle w:val="ConsPlusNormal"/>
        <w:ind w:firstLine="540"/>
        <w:jc w:val="both"/>
      </w:pPr>
    </w:p>
    <w:p w:rsidR="002840E9" w:rsidRPr="002840E9" w:rsidRDefault="002840E9" w:rsidP="002840E9">
      <w:pPr>
        <w:ind w:firstLine="709"/>
        <w:jc w:val="both"/>
        <w:rPr>
          <w:i/>
        </w:rPr>
      </w:pPr>
      <w:r>
        <w:rPr>
          <w:i/>
        </w:rPr>
        <w:lastRenderedPageBreak/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для реализации мероприятий по проведению ежегодной межрегиональной универсальной оптово-розничной Курской Коренской ярмарки привлекаются: областное бюджетное учреждение </w:t>
      </w:r>
      <w:r w:rsidR="00E07BEC" w:rsidRPr="00CC2F02">
        <w:t>«</w:t>
      </w:r>
      <w:r w:rsidRPr="00CC2F02">
        <w:t xml:space="preserve">Выставочный центр </w:t>
      </w:r>
      <w:r w:rsidR="00E07BEC" w:rsidRPr="00CC2F02">
        <w:t>«</w:t>
      </w:r>
      <w:r w:rsidRPr="00CC2F02">
        <w:t>Курская Коренская ярмарка</w:t>
      </w:r>
      <w:r w:rsidR="00E07BEC" w:rsidRPr="00CC2F02">
        <w:t>»</w:t>
      </w:r>
      <w:r w:rsidRPr="00CC2F02">
        <w:t xml:space="preserve">, областное бюджетное образовательное учреждение дополнительного образования детей </w:t>
      </w:r>
      <w:r w:rsidR="00E07BEC" w:rsidRPr="00CC2F02">
        <w:t>«</w:t>
      </w:r>
      <w:r w:rsidRPr="00CC2F02">
        <w:t>Областной центр творческого развития и гуманитарного образования детей и учащейся молодежи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Экоцентр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Дом народного творчества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музей археологии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театр кукол</w:t>
      </w:r>
      <w:r w:rsidR="00E07BEC" w:rsidRPr="00CC2F02">
        <w:t>»</w:t>
      </w:r>
      <w:r w:rsidRPr="00CC2F02">
        <w:t xml:space="preserve">, областное бюджетное образовательное учреждение среднего профессионального образования </w:t>
      </w:r>
      <w:r w:rsidR="00E07BEC" w:rsidRPr="00CC2F02">
        <w:t>«</w:t>
      </w:r>
      <w:r w:rsidRPr="00CC2F02">
        <w:t>Курский колледж культуры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Гараж комитета по культуре</w:t>
      </w:r>
      <w:r w:rsidR="00E07BEC" w:rsidRPr="00CC2F02">
        <w:t>»</w:t>
      </w:r>
      <w:r w:rsidRPr="00CC2F02">
        <w:t xml:space="preserve">, областное казенное учреждение </w:t>
      </w:r>
      <w:r w:rsidR="00E07BEC" w:rsidRPr="00CC2F02">
        <w:t>«</w:t>
      </w:r>
      <w:r w:rsidRPr="00CC2F02">
        <w:t>Гараж Администрации Курской области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микрофинансирования;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 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>ссоциацию «Центр поддержки предпринимательства – микрофинансовая организация Курской области</w:t>
      </w:r>
      <w:r w:rsidR="00BD1471" w:rsidRPr="00CC2F02">
        <w:t xml:space="preserve"> (переименована в 2016 году в Ассоциацию микрокредитную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</w:t>
      </w:r>
      <w:r w:rsidRPr="00CC2F02">
        <w:lastRenderedPageBreak/>
        <w:t xml:space="preserve">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 xml:space="preserve">Доля граждан, имеющих доступ к получению государственных и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>«О реализации в Курской области пилотного проекта федерального значения на основе использования результатов космической деятельности).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создании региональной информационно-навигационной системы путем инвестирования в рамках частно-государственного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необходимых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>Общий объем финансовых средств на реализацию мероприятий программы в 2014 - 2024 годах составляет</w:t>
      </w:r>
      <w:r w:rsidR="00026B39">
        <w:t xml:space="preserve"> </w:t>
      </w:r>
      <w:r w:rsidR="00567838" w:rsidRPr="000B59E1">
        <w:t>7 869 064,258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2 048 615,170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567838" w:rsidRPr="000B59E1">
        <w:t>656 130,019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567838" w:rsidRPr="000B59E1">
        <w:t>642 126,419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2014 - 2024 годах составляет 1</w:t>
      </w:r>
      <w:r w:rsidR="00CA75EB">
        <w:t> </w:t>
      </w:r>
      <w:r w:rsidR="00B50579">
        <w:t>34</w:t>
      </w:r>
      <w:r w:rsidR="00CA75EB">
        <w:t>6 380,482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CA75EB">
        <w:t>84 562,200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CA75EB">
        <w:t>70 558,600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 xml:space="preserve">в 2014 - 2024 годах составляет                                 </w:t>
      </w:r>
      <w:r w:rsidR="00567838" w:rsidRPr="000B59E1">
        <w:t>6 424 702,886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1 975</w:t>
      </w:r>
      <w:r w:rsidR="0071251D" w:rsidRPr="000B59E1">
        <w:t> </w:t>
      </w:r>
      <w:r w:rsidR="00567838" w:rsidRPr="000B59E1">
        <w:t>732</w:t>
      </w:r>
      <w:r w:rsidR="0071251D" w:rsidRPr="000B59E1">
        <w:t>,870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71251D" w:rsidRPr="000B59E1">
        <w:t>571 567,819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Pr="000B59E1">
        <w:t>571 567,819</w:t>
      </w:r>
      <w:r w:rsidR="0058478D">
        <w:t xml:space="preserve">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lastRenderedPageBreak/>
        <w:t>Общий объем финансовых средств, предусмотренных на реализацию мероприятий программы в 2014 - 2024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2014 - 2024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степени влияния выделения дополнительных объемов ресурсов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2) организационные риски, связанные с неэффективным управлением реализацией государственной программы, в том числе отдельных ее </w:t>
      </w:r>
      <w:r w:rsidRPr="00CC2F02">
        <w:lastRenderedPageBreak/>
        <w:t>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</w:t>
            </w:r>
            <w:r w:rsidRPr="00CC2F02">
              <w:lastRenderedPageBreak/>
              <w:t>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lastRenderedPageBreak/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</w:t>
            </w:r>
            <w:r w:rsidRPr="00CC2F02">
              <w:lastRenderedPageBreak/>
              <w:t>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недостаточное </w:t>
            </w:r>
            <w:r w:rsidRPr="00CC2F02">
              <w:lastRenderedPageBreak/>
              <w:t>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lastRenderedPageBreak/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сохраняющаяся высокая зависимость показателей социально-экономического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СРм = Мв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СРм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3E6C46" w:rsidRPr="00CC2F02">
        <w:rPr>
          <w:vertAlign w:val="superscript"/>
        </w:rPr>
        <w:t>2</w:t>
      </w:r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4"/>
      <w:bookmarkEnd w:id="1"/>
      <w:r w:rsidRPr="00CC2F02">
        <w:rPr>
          <w:sz w:val="20"/>
          <w:szCs w:val="20"/>
          <w:vertAlign w:val="superscript"/>
        </w:rPr>
        <w:t>1</w:t>
      </w:r>
      <w:r w:rsidRPr="00CC2F02">
        <w:rPr>
          <w:sz w:val="20"/>
          <w:szCs w:val="20"/>
        </w:rPr>
        <w:t xml:space="preserve">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2" w:name="Par955"/>
      <w:bookmarkEnd w:id="2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lastRenderedPageBreak/>
        <w:t>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 xml:space="preserve"> = З</w:t>
      </w:r>
      <w:r w:rsidRPr="00CC2F02">
        <w:rPr>
          <w:sz w:val="24"/>
          <w:szCs w:val="24"/>
          <w:vertAlign w:val="subscript"/>
        </w:rPr>
        <w:t>ф</w:t>
      </w:r>
      <w:r w:rsidRPr="00CC2F02">
        <w:rPr>
          <w:sz w:val="24"/>
          <w:szCs w:val="24"/>
        </w:rPr>
        <w:t xml:space="preserve"> / З</w:t>
      </w:r>
      <w:r w:rsidRPr="00CC2F02">
        <w:rPr>
          <w:sz w:val="24"/>
          <w:szCs w:val="24"/>
          <w:vertAlign w:val="subscript"/>
        </w:rPr>
        <w:t>п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</w:t>
      </w:r>
      <w:r w:rsidRPr="00CC2F02">
        <w:rPr>
          <w:vertAlign w:val="subscript"/>
        </w:rPr>
        <w:t>ф</w:t>
      </w:r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</w:t>
      </w:r>
      <w:r w:rsidRPr="00CC2F02">
        <w:rPr>
          <w:vertAlign w:val="subscript"/>
        </w:rPr>
        <w:t>п</w:t>
      </w:r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r w:rsidRPr="00CC2F02">
        <w:rPr>
          <w:sz w:val="24"/>
          <w:szCs w:val="24"/>
        </w:rPr>
        <w:t xml:space="preserve"> = СР</w:t>
      </w:r>
      <w:r w:rsidRPr="00CC2F02">
        <w:rPr>
          <w:sz w:val="24"/>
          <w:szCs w:val="24"/>
          <w:vertAlign w:val="subscript"/>
        </w:rPr>
        <w:t>м</w:t>
      </w:r>
      <w:r w:rsidRPr="00CC2F02">
        <w:rPr>
          <w:sz w:val="24"/>
          <w:szCs w:val="24"/>
        </w:rPr>
        <w:t xml:space="preserve"> / 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Э</w:t>
      </w:r>
      <w:r w:rsidRPr="00CC2F02">
        <w:rPr>
          <w:vertAlign w:val="subscript"/>
        </w:rPr>
        <w:t>ис</w:t>
      </w:r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м</w:t>
      </w:r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Если доля финансового обеспечения реализации подпрограммы из средств областного бюджета составляет менее 75%,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r w:rsidRPr="00CC2F02">
        <w:rPr>
          <w:sz w:val="24"/>
          <w:szCs w:val="24"/>
        </w:rPr>
        <w:t xml:space="preserve"> = СР</w:t>
      </w:r>
      <w:r w:rsidRPr="00CC2F02">
        <w:rPr>
          <w:sz w:val="24"/>
          <w:szCs w:val="24"/>
          <w:vertAlign w:val="subscript"/>
        </w:rPr>
        <w:t>м</w:t>
      </w:r>
      <w:r w:rsidRPr="00CC2F02">
        <w:rPr>
          <w:sz w:val="24"/>
          <w:szCs w:val="24"/>
        </w:rPr>
        <w:t xml:space="preserve"> / 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Э</w:t>
      </w:r>
      <w:r w:rsidRPr="00CC2F02">
        <w:rPr>
          <w:vertAlign w:val="subscript"/>
        </w:rPr>
        <w:t>ис</w:t>
      </w:r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м</w:t>
      </w:r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п/ппз</w:t>
      </w:r>
      <w:r w:rsidRPr="00CC2F02">
        <w:rPr>
          <w:sz w:val="24"/>
          <w:szCs w:val="24"/>
        </w:rPr>
        <w:t xml:space="preserve"> = ЗП</w:t>
      </w:r>
      <w:r w:rsidRPr="00CC2F02">
        <w:rPr>
          <w:sz w:val="24"/>
          <w:szCs w:val="24"/>
          <w:vertAlign w:val="subscript"/>
        </w:rPr>
        <w:t>п/пф</w:t>
      </w:r>
      <w:r w:rsidRPr="00CC2F02">
        <w:rPr>
          <w:sz w:val="24"/>
          <w:szCs w:val="24"/>
        </w:rPr>
        <w:t xml:space="preserve"> / ЗП</w:t>
      </w:r>
      <w:r w:rsidRPr="00CC2F02">
        <w:rPr>
          <w:sz w:val="24"/>
          <w:szCs w:val="24"/>
          <w:vertAlign w:val="subscript"/>
        </w:rPr>
        <w:t>п/пп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п/ппз</w:t>
      </w:r>
      <w:r w:rsidRPr="00CC2F02">
        <w:rPr>
          <w:sz w:val="24"/>
          <w:szCs w:val="24"/>
        </w:rPr>
        <w:t xml:space="preserve"> = ЗП</w:t>
      </w:r>
      <w:r w:rsidRPr="00CC2F02">
        <w:rPr>
          <w:sz w:val="24"/>
          <w:szCs w:val="24"/>
          <w:vertAlign w:val="subscript"/>
        </w:rPr>
        <w:t>п/пп</w:t>
      </w:r>
      <w:r w:rsidRPr="00CC2F02">
        <w:rPr>
          <w:sz w:val="24"/>
          <w:szCs w:val="24"/>
        </w:rPr>
        <w:t xml:space="preserve"> / ЗП</w:t>
      </w:r>
      <w:r w:rsidRPr="00CC2F02">
        <w:rPr>
          <w:sz w:val="24"/>
          <w:szCs w:val="24"/>
          <w:vertAlign w:val="subscript"/>
        </w:rPr>
        <w:t>п/пф,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СД</w:t>
      </w:r>
      <w:r w:rsidRPr="00CC2F02">
        <w:rPr>
          <w:vertAlign w:val="subscript"/>
        </w:rPr>
        <w:t>п/ппз</w:t>
      </w:r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ЗП</w:t>
      </w:r>
      <w:r w:rsidRPr="00CC2F02">
        <w:rPr>
          <w:vertAlign w:val="subscript"/>
        </w:rPr>
        <w:t>п/пф</w:t>
      </w:r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ЗП</w:t>
      </w:r>
      <w:r w:rsidRPr="00CC2F02">
        <w:rPr>
          <w:vertAlign w:val="subscript"/>
        </w:rPr>
        <w:t>п/пп</w:t>
      </w:r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п/п</w:t>
      </w:r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СД</w:t>
      </w:r>
      <w:r w:rsidRPr="00CC2F02">
        <w:rPr>
          <w:vertAlign w:val="subscript"/>
        </w:rPr>
        <w:t>п/ппз</w:t>
      </w:r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При использовании данной формулы в случаях, если СД</w:t>
      </w:r>
      <w:r w:rsidRPr="00CC2F02">
        <w:rPr>
          <w:vertAlign w:val="subscript"/>
        </w:rPr>
        <w:t>п/ппз</w:t>
      </w:r>
      <w:r w:rsidRPr="00CC2F02">
        <w:t xml:space="preserve"> больше 1, значение СД</w:t>
      </w:r>
      <w:r w:rsidRPr="00CC2F02">
        <w:rPr>
          <w:vertAlign w:val="subscript"/>
        </w:rPr>
        <w:t>п/ппз</w:t>
      </w:r>
      <w:r w:rsidRPr="00CC2F02">
        <w:t xml:space="preserve"> принимается равным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 xml:space="preserve">14. Эффективность реализации подпрограммы оценивается в зависимости от значений оценки степени реализации подпрограммы и </w:t>
      </w:r>
      <w:r w:rsidRPr="00CC2F02">
        <w:lastRenderedPageBreak/>
        <w:t>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п/п</w:t>
      </w:r>
      <w:r w:rsidRPr="00872EEA">
        <w:rPr>
          <w:sz w:val="24"/>
          <w:szCs w:val="24"/>
        </w:rPr>
        <w:t xml:space="preserve"> = СР</w:t>
      </w:r>
      <w:r w:rsidRPr="00872EEA">
        <w:rPr>
          <w:sz w:val="24"/>
          <w:szCs w:val="24"/>
          <w:vertAlign w:val="subscript"/>
        </w:rPr>
        <w:t>п/п</w:t>
      </w:r>
      <w:r w:rsidRPr="00872EEA">
        <w:rPr>
          <w:sz w:val="24"/>
          <w:szCs w:val="24"/>
        </w:rPr>
        <w:t xml:space="preserve"> x Э</w:t>
      </w:r>
      <w:r w:rsidRPr="00872EEA">
        <w:rPr>
          <w:sz w:val="24"/>
          <w:szCs w:val="24"/>
          <w:vertAlign w:val="subscript"/>
        </w:rPr>
        <w:t>ис</w:t>
      </w:r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ЭР</w:t>
      </w:r>
      <w:r w:rsidRPr="00872EEA">
        <w:rPr>
          <w:vertAlign w:val="subscript"/>
        </w:rPr>
        <w:t>п/п</w:t>
      </w:r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СР</w:t>
      </w:r>
      <w:r w:rsidRPr="00872EEA">
        <w:rPr>
          <w:vertAlign w:val="subscript"/>
        </w:rPr>
        <w:t>п/п</w:t>
      </w:r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</w:t>
      </w:r>
      <w:r w:rsidRPr="00872EEA">
        <w:rPr>
          <w:vertAlign w:val="subscript"/>
        </w:rPr>
        <w:t>ис</w:t>
      </w:r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15. Эффективность реализации подпрограммы признается высокой в случае, если значение ЭРп/п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подпрограммы признается средней в случае, если значение ЭРп/п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r w:rsidRPr="00872EEA">
        <w:rPr>
          <w:sz w:val="24"/>
          <w:szCs w:val="24"/>
        </w:rPr>
        <w:t xml:space="preserve"> = ЗП</w:t>
      </w:r>
      <w:r w:rsidRPr="00872EEA">
        <w:rPr>
          <w:sz w:val="24"/>
          <w:szCs w:val="24"/>
          <w:vertAlign w:val="subscript"/>
        </w:rPr>
        <w:t>гпф</w:t>
      </w:r>
      <w:r w:rsidRPr="00872EEA">
        <w:rPr>
          <w:sz w:val="24"/>
          <w:szCs w:val="24"/>
        </w:rPr>
        <w:t xml:space="preserve"> / ЗП</w:t>
      </w:r>
      <w:r w:rsidRPr="00872EEA">
        <w:rPr>
          <w:sz w:val="24"/>
          <w:szCs w:val="24"/>
          <w:vertAlign w:val="subscript"/>
        </w:rPr>
        <w:t>гпп</w:t>
      </w:r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r w:rsidRPr="00872EEA">
        <w:rPr>
          <w:sz w:val="24"/>
          <w:szCs w:val="24"/>
        </w:rPr>
        <w:t xml:space="preserve"> = ЗП</w:t>
      </w:r>
      <w:r w:rsidRPr="00872EEA">
        <w:rPr>
          <w:sz w:val="24"/>
          <w:szCs w:val="24"/>
          <w:vertAlign w:val="subscript"/>
        </w:rPr>
        <w:t>гпп</w:t>
      </w:r>
      <w:r w:rsidRPr="00872EEA">
        <w:rPr>
          <w:sz w:val="24"/>
          <w:szCs w:val="24"/>
        </w:rPr>
        <w:t xml:space="preserve"> / ЗП</w:t>
      </w:r>
      <w:r w:rsidRPr="00872EEA">
        <w:rPr>
          <w:sz w:val="24"/>
          <w:szCs w:val="24"/>
          <w:vertAlign w:val="subscript"/>
        </w:rPr>
        <w:t>гпф</w:t>
      </w:r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СД</w:t>
      </w:r>
      <w:r w:rsidRPr="00872EEA">
        <w:rPr>
          <w:vertAlign w:val="subscript"/>
        </w:rPr>
        <w:t>гппз</w:t>
      </w:r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ЗП</w:t>
      </w:r>
      <w:r w:rsidRPr="00872EEA">
        <w:rPr>
          <w:vertAlign w:val="subscript"/>
        </w:rPr>
        <w:t>гпф</w:t>
      </w:r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>ЗП</w:t>
      </w:r>
      <w:r w:rsidRPr="00872EEA">
        <w:rPr>
          <w:vertAlign w:val="subscript"/>
        </w:rPr>
        <w:t>гпп</w:t>
      </w:r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СР</w:t>
      </w:r>
      <w:r w:rsidRPr="00872EEA">
        <w:rPr>
          <w:vertAlign w:val="subscript"/>
        </w:rPr>
        <w:t>гп</w:t>
      </w:r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СД</w:t>
      </w:r>
      <w:r w:rsidRPr="00872EEA">
        <w:rPr>
          <w:vertAlign w:val="subscript"/>
        </w:rPr>
        <w:t>гппз</w:t>
      </w:r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При использовании данной формулы, в случае если СД</w:t>
      </w:r>
      <w:r w:rsidRPr="00872EEA">
        <w:rPr>
          <w:vertAlign w:val="subscript"/>
        </w:rPr>
        <w:t>гппз</w:t>
      </w:r>
      <w:r w:rsidRPr="00872EEA">
        <w:t xml:space="preserve"> больше 1, значение СД</w:t>
      </w:r>
      <w:r w:rsidRPr="00872EEA">
        <w:rPr>
          <w:vertAlign w:val="subscript"/>
        </w:rPr>
        <w:t>гппз</w:t>
      </w:r>
      <w:r w:rsidRPr="00872EEA">
        <w:t xml:space="preserve"> принимается равным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r w:rsidRPr="00872EEA">
        <w:rPr>
          <w:sz w:val="24"/>
          <w:szCs w:val="24"/>
          <w:lang w:val="en-US"/>
        </w:rPr>
        <w:t>j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ЭРгп = 0,5 × СРгп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п/п × k</w:t>
      </w:r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872EEA">
        <w:rPr>
          <w:vertAlign w:val="subscript"/>
        </w:rPr>
        <w:t>j</w:t>
      </w:r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>, где Ф</w:t>
      </w:r>
      <w:r w:rsidRPr="00872EEA">
        <w:rPr>
          <w:vertAlign w:val="subscript"/>
        </w:rPr>
        <w:t>j</w:t>
      </w:r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количество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20. Эффективность реализации государственной программы признается высокой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государственной программы признается средней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>Эффективность реализации государственной программы признается удовлетворительной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C3" w:rsidRDefault="001846C3" w:rsidP="00975A7A">
      <w:r>
        <w:separator/>
      </w:r>
    </w:p>
  </w:endnote>
  <w:endnote w:type="continuationSeparator" w:id="0">
    <w:p w:rsidR="001846C3" w:rsidRDefault="001846C3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C3" w:rsidRDefault="001846C3" w:rsidP="00975A7A">
      <w:r>
        <w:separator/>
      </w:r>
    </w:p>
  </w:footnote>
  <w:footnote w:type="continuationSeparator" w:id="0">
    <w:p w:rsidR="001846C3" w:rsidRDefault="001846C3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1846C3" w:rsidRDefault="00BA137F">
        <w:pPr>
          <w:pStyle w:val="a6"/>
          <w:jc w:val="center"/>
        </w:pPr>
        <w:fldSimple w:instr=" PAGE   \* MERGEFORMAT ">
          <w:r w:rsidR="00C30DB9">
            <w:rPr>
              <w:noProof/>
            </w:rPr>
            <w:t>53</w:t>
          </w:r>
        </w:fldSimple>
      </w:p>
    </w:sdtContent>
  </w:sdt>
  <w:p w:rsidR="001846C3" w:rsidRDefault="001846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4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51E2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9CE09-1AB0-47FB-AC37-0ADB52A8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53</Pages>
  <Words>18199</Words>
  <Characters>103736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23</cp:revision>
  <cp:lastPrinted>2016-04-01T11:29:00Z</cp:lastPrinted>
  <dcterms:created xsi:type="dcterms:W3CDTF">2019-02-28T13:00:00Z</dcterms:created>
  <dcterms:modified xsi:type="dcterms:W3CDTF">2022-10-14T13:42:00Z</dcterms:modified>
</cp:coreProperties>
</file>